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4196" w14:textId="77777777" w:rsidR="00833984" w:rsidRDefault="00833984" w:rsidP="00833984">
      <w:pPr>
        <w:jc w:val="both"/>
        <w:rPr>
          <w:rFonts w:ascii="Arial" w:hAnsi="Arial" w:cs="Arial"/>
          <w:b/>
        </w:rPr>
      </w:pPr>
    </w:p>
    <w:p w14:paraId="58D10FFA" w14:textId="77777777" w:rsidR="00833984" w:rsidRDefault="00833984" w:rsidP="00833984">
      <w:pPr>
        <w:jc w:val="both"/>
        <w:rPr>
          <w:rFonts w:ascii="Arial" w:hAnsi="Arial" w:cs="Arial"/>
          <w:b/>
        </w:rPr>
      </w:pPr>
    </w:p>
    <w:p w14:paraId="675EC6A8" w14:textId="77777777" w:rsidR="00833984" w:rsidRDefault="00833984" w:rsidP="00833984">
      <w:pPr>
        <w:jc w:val="both"/>
        <w:rPr>
          <w:rFonts w:ascii="Arial" w:hAnsi="Arial" w:cs="Arial"/>
          <w:b/>
        </w:rPr>
      </w:pPr>
    </w:p>
    <w:p w14:paraId="39F7F6E5" w14:textId="77777777" w:rsidR="00833984" w:rsidRDefault="00833984" w:rsidP="00833984">
      <w:pPr>
        <w:jc w:val="both"/>
        <w:rPr>
          <w:rFonts w:ascii="Arial" w:hAnsi="Arial" w:cs="Arial"/>
          <w:b/>
        </w:rPr>
      </w:pPr>
    </w:p>
    <w:p w14:paraId="78C77D30" w14:textId="77777777" w:rsidR="00833984" w:rsidRDefault="00833984" w:rsidP="00833984">
      <w:pPr>
        <w:jc w:val="both"/>
        <w:rPr>
          <w:rFonts w:ascii="Arial" w:hAnsi="Arial" w:cs="Arial"/>
          <w:b/>
        </w:rPr>
      </w:pPr>
    </w:p>
    <w:p w14:paraId="181A9E04" w14:textId="77777777" w:rsidR="00833984" w:rsidRDefault="00833984" w:rsidP="00833984">
      <w:pPr>
        <w:jc w:val="both"/>
        <w:rPr>
          <w:rFonts w:ascii="Arial" w:hAnsi="Arial" w:cs="Arial"/>
          <w:b/>
        </w:rPr>
      </w:pPr>
    </w:p>
    <w:p w14:paraId="502CB16E" w14:textId="77777777" w:rsidR="00833984" w:rsidRDefault="00833984" w:rsidP="00833984">
      <w:pPr>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5D9FA8B8" w14:textId="77777777" w:rsidR="00833984" w:rsidRPr="002F7C51" w:rsidRDefault="00833984" w:rsidP="00833984">
      <w:pPr>
        <w:jc w:val="both"/>
        <w:rPr>
          <w:rFonts w:ascii="Arial" w:hAnsi="Arial" w:cs="Arial"/>
          <w:sz w:val="12"/>
          <w:szCs w:val="12"/>
        </w:rPr>
      </w:pPr>
    </w:p>
    <w:p w14:paraId="511879ED" w14:textId="77777777" w:rsidR="00833984" w:rsidRDefault="00833984" w:rsidP="00833984">
      <w:pPr>
        <w:jc w:val="both"/>
        <w:rPr>
          <w:rFonts w:ascii="Arial" w:hAnsi="Arial" w:cs="Arial"/>
        </w:rPr>
      </w:pPr>
      <w:r>
        <w:rPr>
          <w:rFonts w:ascii="Arial" w:hAnsi="Arial" w:cs="Arial"/>
        </w:rPr>
        <w:t xml:space="preserve">OPEN has embraced this responsibility by working to create suggested Universal Design Adaptations that serve to act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330A6632" w14:textId="77777777" w:rsidR="00833984" w:rsidRPr="00C50DD9" w:rsidRDefault="00833984" w:rsidP="00833984">
      <w:pPr>
        <w:jc w:val="both"/>
        <w:rPr>
          <w:rFonts w:ascii="Arial" w:hAnsi="Arial" w:cs="Arial"/>
          <w:sz w:val="12"/>
          <w:szCs w:val="12"/>
        </w:rPr>
      </w:pPr>
    </w:p>
    <w:p w14:paraId="30FF51A0" w14:textId="77777777" w:rsidR="00833984" w:rsidRDefault="00833984" w:rsidP="00833984">
      <w:pPr>
        <w:jc w:val="both"/>
        <w:rPr>
          <w:rFonts w:ascii="Arial" w:hAnsi="Arial" w:cs="Arial"/>
        </w:rPr>
      </w:pPr>
      <w:r>
        <w:rPr>
          <w:rFonts w:ascii="Arial" w:hAnsi="Arial" w:cs="Arial"/>
        </w:rPr>
        <w:t>The table below offers additional adaptations in an effort to move closer to the ideal of Universal Design.</w:t>
      </w:r>
    </w:p>
    <w:p w14:paraId="4DEB2936" w14:textId="77777777" w:rsidR="00833984" w:rsidRDefault="00833984" w:rsidP="00833984">
      <w:pPr>
        <w:rPr>
          <w:rFonts w:ascii="Arial" w:hAnsi="Arial" w:cs="Arial"/>
        </w:rPr>
      </w:pPr>
    </w:p>
    <w:p w14:paraId="5198DE66" w14:textId="77777777" w:rsidR="00833984" w:rsidRDefault="00833984" w:rsidP="00833984">
      <w:pPr>
        <w:jc w:val="center"/>
      </w:pPr>
      <w:r w:rsidRPr="002F7C51">
        <w:rPr>
          <w:rFonts w:ascii="Arial" w:hAnsi="Arial" w:cs="Arial"/>
          <w:b/>
        </w:rPr>
        <w:t>Potential Universal Design Adaptations for</w:t>
      </w:r>
      <w:r>
        <w:rPr>
          <w:rFonts w:ascii="Arial" w:hAnsi="Arial" w:cs="Arial"/>
          <w:b/>
        </w:rPr>
        <w:t xml:space="preserve"> Invasion Basics</w:t>
      </w:r>
    </w:p>
    <w:tbl>
      <w:tblPr>
        <w:tblStyle w:val="TableGrid"/>
        <w:tblW w:w="0" w:type="auto"/>
        <w:jc w:val="center"/>
        <w:tblBorders>
          <w:top w:val="single" w:sz="18" w:space="0" w:color="0095BD"/>
          <w:left w:val="single" w:sz="18" w:space="0" w:color="0095BD"/>
          <w:bottom w:val="single" w:sz="18" w:space="0" w:color="0095BD"/>
          <w:right w:val="single" w:sz="18" w:space="0" w:color="0095BD"/>
          <w:insideH w:val="single" w:sz="18" w:space="0" w:color="0095BD"/>
          <w:insideV w:val="single" w:sz="18" w:space="0" w:color="0095BD"/>
        </w:tblBorders>
        <w:tblLook w:val="04A0" w:firstRow="1" w:lastRow="0" w:firstColumn="1" w:lastColumn="0" w:noHBand="0" w:noVBand="1"/>
      </w:tblPr>
      <w:tblGrid>
        <w:gridCol w:w="2581"/>
        <w:gridCol w:w="2582"/>
        <w:gridCol w:w="2582"/>
        <w:gridCol w:w="2582"/>
      </w:tblGrid>
      <w:tr w:rsidR="00AF77A3" w:rsidRPr="00EF2C4C" w14:paraId="067C8973" w14:textId="77777777" w:rsidTr="00144CAE">
        <w:trPr>
          <w:trHeight w:val="323"/>
          <w:jc w:val="center"/>
        </w:trPr>
        <w:tc>
          <w:tcPr>
            <w:tcW w:w="2581" w:type="dxa"/>
            <w:shd w:val="clear" w:color="auto" w:fill="0095BD"/>
            <w:vAlign w:val="center"/>
          </w:tcPr>
          <w:p w14:paraId="7098CA77"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Equipment</w:t>
            </w:r>
          </w:p>
        </w:tc>
        <w:tc>
          <w:tcPr>
            <w:tcW w:w="2582" w:type="dxa"/>
            <w:shd w:val="clear" w:color="auto" w:fill="0095BD"/>
            <w:vAlign w:val="center"/>
          </w:tcPr>
          <w:p w14:paraId="309C2826"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Rules</w:t>
            </w:r>
          </w:p>
        </w:tc>
        <w:tc>
          <w:tcPr>
            <w:tcW w:w="2582" w:type="dxa"/>
            <w:shd w:val="clear" w:color="auto" w:fill="0095BD"/>
            <w:vAlign w:val="center"/>
          </w:tcPr>
          <w:p w14:paraId="71BD0973"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582" w:type="dxa"/>
            <w:shd w:val="clear" w:color="auto" w:fill="0095BD"/>
            <w:vAlign w:val="center"/>
          </w:tcPr>
          <w:p w14:paraId="7C208433" w14:textId="77777777" w:rsidR="00833984" w:rsidRPr="00EF2C4C" w:rsidRDefault="00833984" w:rsidP="00833984">
            <w:pPr>
              <w:jc w:val="center"/>
              <w:rPr>
                <w:rFonts w:ascii="Arial" w:hAnsi="Arial" w:cs="Arial"/>
                <w:b/>
                <w:color w:val="FFFFFF" w:themeColor="background1"/>
              </w:rPr>
            </w:pPr>
            <w:r w:rsidRPr="00EF2C4C">
              <w:rPr>
                <w:rFonts w:ascii="Arial" w:hAnsi="Arial" w:cs="Arial"/>
                <w:b/>
                <w:color w:val="FFFFFF" w:themeColor="background1"/>
              </w:rPr>
              <w:t>Instruction</w:t>
            </w:r>
          </w:p>
        </w:tc>
      </w:tr>
      <w:tr w:rsidR="00AF77A3" w:rsidRPr="00EF2C4C" w14:paraId="14C972CD" w14:textId="77777777" w:rsidTr="00144CAE">
        <w:trPr>
          <w:trHeight w:val="5282"/>
          <w:jc w:val="center"/>
        </w:trPr>
        <w:tc>
          <w:tcPr>
            <w:tcW w:w="2581" w:type="dxa"/>
            <w:shd w:val="clear" w:color="auto" w:fill="auto"/>
          </w:tcPr>
          <w:p w14:paraId="72B1AA0F" w14:textId="77777777" w:rsidR="00833984" w:rsidRPr="00EF2C4C" w:rsidRDefault="00833984" w:rsidP="00901AC2">
            <w:pPr>
              <w:rPr>
                <w:rFonts w:ascii="Arial" w:hAnsi="Arial" w:cs="Arial"/>
                <w:b/>
                <w:sz w:val="10"/>
                <w:szCs w:val="10"/>
              </w:rPr>
            </w:pPr>
          </w:p>
          <w:p w14:paraId="24D604E0" w14:textId="77777777" w:rsidR="00833984" w:rsidRDefault="00833984" w:rsidP="00833984">
            <w:pPr>
              <w:pStyle w:val="ListParagraph"/>
              <w:numPr>
                <w:ilvl w:val="0"/>
                <w:numId w:val="1"/>
              </w:numPr>
              <w:ind w:left="360"/>
              <w:rPr>
                <w:rFonts w:ascii="Arial" w:hAnsi="Arial" w:cs="Arial"/>
              </w:rPr>
            </w:pPr>
            <w:r>
              <w:rPr>
                <w:rFonts w:ascii="Arial" w:hAnsi="Arial" w:cs="Arial"/>
              </w:rPr>
              <w:t>Use a variety of different ball types including auditory balls, different textures, sizes, and weight</w:t>
            </w:r>
          </w:p>
          <w:p w14:paraId="4185CFEE" w14:textId="77777777" w:rsidR="00833984" w:rsidRDefault="00833984" w:rsidP="00833984">
            <w:pPr>
              <w:pStyle w:val="ListParagraph"/>
              <w:numPr>
                <w:ilvl w:val="0"/>
                <w:numId w:val="1"/>
              </w:numPr>
              <w:ind w:left="360"/>
              <w:rPr>
                <w:rFonts w:ascii="Arial" w:hAnsi="Arial" w:cs="Arial"/>
              </w:rPr>
            </w:pPr>
            <w:r>
              <w:rPr>
                <w:rFonts w:ascii="Arial" w:hAnsi="Arial" w:cs="Arial"/>
              </w:rPr>
              <w:t>Place a buzzer on the goal or target</w:t>
            </w:r>
          </w:p>
          <w:p w14:paraId="4586AD09" w14:textId="77777777" w:rsidR="00833984" w:rsidRDefault="00833984" w:rsidP="00833984">
            <w:pPr>
              <w:pStyle w:val="ListParagraph"/>
              <w:numPr>
                <w:ilvl w:val="0"/>
                <w:numId w:val="1"/>
              </w:numPr>
              <w:ind w:left="360"/>
              <w:rPr>
                <w:rFonts w:ascii="Arial" w:hAnsi="Arial" w:cs="Arial"/>
              </w:rPr>
            </w:pPr>
            <w:r>
              <w:rPr>
                <w:rFonts w:ascii="Arial" w:hAnsi="Arial" w:cs="Arial"/>
              </w:rPr>
              <w:t>Use a bigger goal</w:t>
            </w:r>
          </w:p>
          <w:p w14:paraId="5AA9085C" w14:textId="77777777" w:rsidR="00833984" w:rsidRDefault="00833984" w:rsidP="00833984">
            <w:pPr>
              <w:pStyle w:val="ListParagraph"/>
              <w:numPr>
                <w:ilvl w:val="0"/>
                <w:numId w:val="1"/>
              </w:numPr>
              <w:ind w:left="360"/>
              <w:rPr>
                <w:rFonts w:ascii="Arial" w:hAnsi="Arial" w:cs="Arial"/>
              </w:rPr>
            </w:pPr>
            <w:r>
              <w:rPr>
                <w:rFonts w:ascii="Arial" w:hAnsi="Arial" w:cs="Arial"/>
              </w:rPr>
              <w:t>Use a variety of different striking implements including large/foam hockey sticks, short handled sticks, etc.</w:t>
            </w:r>
          </w:p>
          <w:p w14:paraId="21B2A650"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Use bright colored pinnies to distinguish teams</w:t>
            </w:r>
          </w:p>
        </w:tc>
        <w:tc>
          <w:tcPr>
            <w:tcW w:w="2582" w:type="dxa"/>
            <w:shd w:val="clear" w:color="auto" w:fill="auto"/>
          </w:tcPr>
          <w:p w14:paraId="5DA30C53" w14:textId="77777777" w:rsidR="00833984" w:rsidRPr="00EF2C4C" w:rsidRDefault="00833984" w:rsidP="00901AC2">
            <w:pPr>
              <w:rPr>
                <w:rFonts w:ascii="Arial" w:hAnsi="Arial" w:cs="Arial"/>
                <w:b/>
                <w:sz w:val="10"/>
                <w:szCs w:val="10"/>
              </w:rPr>
            </w:pPr>
          </w:p>
          <w:p w14:paraId="531CAE02" w14:textId="77777777" w:rsidR="00833984" w:rsidRDefault="00833984" w:rsidP="00833984">
            <w:pPr>
              <w:pStyle w:val="ListParagraph"/>
              <w:numPr>
                <w:ilvl w:val="0"/>
                <w:numId w:val="1"/>
              </w:numPr>
              <w:ind w:left="360"/>
              <w:rPr>
                <w:rFonts w:ascii="Arial" w:hAnsi="Arial" w:cs="Arial"/>
              </w:rPr>
            </w:pPr>
            <w:r>
              <w:rPr>
                <w:rFonts w:ascii="Arial" w:hAnsi="Arial" w:cs="Arial"/>
              </w:rPr>
              <w:t>Increase/decrease the size of the shooting crease</w:t>
            </w:r>
          </w:p>
          <w:p w14:paraId="0E4C651C" w14:textId="77777777" w:rsidR="00833984" w:rsidRDefault="00833984" w:rsidP="00833984">
            <w:pPr>
              <w:pStyle w:val="ListParagraph"/>
              <w:numPr>
                <w:ilvl w:val="0"/>
                <w:numId w:val="1"/>
              </w:numPr>
              <w:ind w:left="360"/>
              <w:rPr>
                <w:rFonts w:ascii="Arial" w:hAnsi="Arial" w:cs="Arial"/>
              </w:rPr>
            </w:pPr>
            <w:r>
              <w:rPr>
                <w:rFonts w:ascii="Arial" w:hAnsi="Arial" w:cs="Arial"/>
              </w:rPr>
              <w:t>Vary the number of defenders playing (i.e., defense plays down a player)</w:t>
            </w:r>
          </w:p>
          <w:p w14:paraId="23CFA99B" w14:textId="77777777" w:rsidR="00833984" w:rsidRDefault="00833984" w:rsidP="00833984">
            <w:pPr>
              <w:pStyle w:val="ListParagraph"/>
              <w:numPr>
                <w:ilvl w:val="0"/>
                <w:numId w:val="1"/>
              </w:numPr>
              <w:ind w:left="360"/>
              <w:rPr>
                <w:rFonts w:ascii="Arial" w:hAnsi="Arial" w:cs="Arial"/>
              </w:rPr>
            </w:pPr>
            <w:r>
              <w:rPr>
                <w:rFonts w:ascii="Arial" w:hAnsi="Arial" w:cs="Arial"/>
              </w:rPr>
              <w:t>Expand or remove boundaries</w:t>
            </w:r>
          </w:p>
          <w:p w14:paraId="70AA6F41"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 xml:space="preserve">Rotate positions </w:t>
            </w:r>
            <w:r w:rsidR="00AF77A3">
              <w:rPr>
                <w:rFonts w:ascii="Arial" w:hAnsi="Arial" w:cs="Arial"/>
              </w:rPr>
              <w:t>frequently</w:t>
            </w:r>
          </w:p>
        </w:tc>
        <w:tc>
          <w:tcPr>
            <w:tcW w:w="2582" w:type="dxa"/>
            <w:shd w:val="clear" w:color="auto" w:fill="auto"/>
          </w:tcPr>
          <w:p w14:paraId="557B098C" w14:textId="77777777" w:rsidR="00833984" w:rsidRPr="00EF2C4C" w:rsidRDefault="00833984" w:rsidP="00901AC2">
            <w:pPr>
              <w:rPr>
                <w:rFonts w:ascii="Arial" w:hAnsi="Arial" w:cs="Arial"/>
                <w:b/>
                <w:sz w:val="10"/>
                <w:szCs w:val="10"/>
              </w:rPr>
            </w:pPr>
          </w:p>
          <w:p w14:paraId="6C2A204A" w14:textId="77777777" w:rsidR="00833984" w:rsidRDefault="00833984" w:rsidP="00833984">
            <w:pPr>
              <w:pStyle w:val="ListParagraph"/>
              <w:numPr>
                <w:ilvl w:val="0"/>
                <w:numId w:val="1"/>
              </w:numPr>
              <w:ind w:left="360"/>
              <w:rPr>
                <w:rFonts w:ascii="Arial" w:hAnsi="Arial" w:cs="Arial"/>
              </w:rPr>
            </w:pPr>
            <w:r>
              <w:rPr>
                <w:rFonts w:ascii="Arial" w:hAnsi="Arial" w:cs="Arial"/>
              </w:rPr>
              <w:t>Use mats to mark and protect boundaries</w:t>
            </w:r>
          </w:p>
          <w:p w14:paraId="2725AE52" w14:textId="77777777" w:rsidR="00833984" w:rsidRDefault="00833984" w:rsidP="00833984">
            <w:pPr>
              <w:pStyle w:val="ListParagraph"/>
              <w:numPr>
                <w:ilvl w:val="0"/>
                <w:numId w:val="1"/>
              </w:numPr>
              <w:ind w:left="360"/>
              <w:rPr>
                <w:rFonts w:ascii="Arial" w:hAnsi="Arial" w:cs="Arial"/>
              </w:rPr>
            </w:pPr>
            <w:r>
              <w:rPr>
                <w:rFonts w:ascii="Arial" w:hAnsi="Arial" w:cs="Arial"/>
              </w:rPr>
              <w:t>Use brightly colored equipment and boundary markers</w:t>
            </w:r>
          </w:p>
          <w:p w14:paraId="6B9D47F1" w14:textId="77777777" w:rsidR="00833984" w:rsidRDefault="00833984" w:rsidP="00833984">
            <w:pPr>
              <w:pStyle w:val="ListParagraph"/>
              <w:numPr>
                <w:ilvl w:val="0"/>
                <w:numId w:val="1"/>
              </w:numPr>
              <w:ind w:left="360"/>
              <w:rPr>
                <w:rFonts w:ascii="Arial" w:hAnsi="Arial" w:cs="Arial"/>
              </w:rPr>
            </w:pPr>
            <w:r>
              <w:rPr>
                <w:rFonts w:ascii="Arial" w:hAnsi="Arial" w:cs="Arial"/>
              </w:rPr>
              <w:t>Use raised/tactile lines</w:t>
            </w:r>
          </w:p>
          <w:p w14:paraId="0BDDE5AF"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Clap behind goals/targets</w:t>
            </w:r>
          </w:p>
        </w:tc>
        <w:tc>
          <w:tcPr>
            <w:tcW w:w="2582" w:type="dxa"/>
            <w:shd w:val="clear" w:color="auto" w:fill="auto"/>
          </w:tcPr>
          <w:p w14:paraId="5AC12B3C" w14:textId="77777777" w:rsidR="00833984" w:rsidRPr="00EF2C4C" w:rsidRDefault="00833984" w:rsidP="00901AC2">
            <w:pPr>
              <w:rPr>
                <w:rFonts w:ascii="Arial" w:hAnsi="Arial" w:cs="Arial"/>
                <w:b/>
                <w:sz w:val="10"/>
                <w:szCs w:val="10"/>
              </w:rPr>
            </w:pPr>
            <w:r w:rsidRPr="00EF2C4C">
              <w:rPr>
                <w:rFonts w:ascii="Arial" w:hAnsi="Arial" w:cs="Arial"/>
                <w:sz w:val="10"/>
                <w:szCs w:val="10"/>
              </w:rPr>
              <w:t xml:space="preserve"> </w:t>
            </w:r>
          </w:p>
          <w:p w14:paraId="3FA493A2"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Provide ongoing verbal cues</w:t>
            </w:r>
          </w:p>
          <w:p w14:paraId="27C08AD7"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Provide physical assistance</w:t>
            </w:r>
          </w:p>
          <w:p w14:paraId="209B1D8B"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Provide a peer tutor/mentor</w:t>
            </w:r>
          </w:p>
          <w:p w14:paraId="79C92340" w14:textId="77777777" w:rsidR="00833984" w:rsidRPr="00EF2C4C" w:rsidRDefault="00833984" w:rsidP="00833984">
            <w:pPr>
              <w:pStyle w:val="ListParagraph"/>
              <w:numPr>
                <w:ilvl w:val="0"/>
                <w:numId w:val="1"/>
              </w:numPr>
              <w:ind w:left="360"/>
              <w:rPr>
                <w:rFonts w:ascii="Arial" w:hAnsi="Arial" w:cs="Arial"/>
              </w:rPr>
            </w:pPr>
            <w:r w:rsidRPr="00EF2C4C">
              <w:rPr>
                <w:rFonts w:ascii="Arial" w:hAnsi="Arial" w:cs="Arial"/>
              </w:rPr>
              <w:t>Use videos, graphics, and pictures as visual examples</w:t>
            </w:r>
          </w:p>
          <w:p w14:paraId="345A5293" w14:textId="77777777" w:rsidR="00833984" w:rsidRDefault="00833984" w:rsidP="00833984">
            <w:pPr>
              <w:pStyle w:val="ListParagraph"/>
              <w:numPr>
                <w:ilvl w:val="0"/>
                <w:numId w:val="1"/>
              </w:numPr>
              <w:ind w:left="360"/>
              <w:rPr>
                <w:rFonts w:ascii="Arial" w:hAnsi="Arial" w:cs="Arial"/>
              </w:rPr>
            </w:pPr>
            <w:r w:rsidRPr="00EF2C4C">
              <w:rPr>
                <w:rFonts w:ascii="Arial" w:hAnsi="Arial" w:cs="Arial"/>
              </w:rPr>
              <w:t>Provide individualized (one-to-one) instruction</w:t>
            </w:r>
          </w:p>
          <w:p w14:paraId="081EA2DA" w14:textId="77777777" w:rsidR="00833984" w:rsidRPr="00EF2C4C" w:rsidRDefault="00833984" w:rsidP="00833984">
            <w:pPr>
              <w:pStyle w:val="ListParagraph"/>
              <w:numPr>
                <w:ilvl w:val="0"/>
                <w:numId w:val="1"/>
              </w:numPr>
              <w:ind w:left="360"/>
              <w:rPr>
                <w:rFonts w:ascii="Arial" w:hAnsi="Arial" w:cs="Arial"/>
              </w:rPr>
            </w:pPr>
            <w:r>
              <w:rPr>
                <w:rFonts w:ascii="Arial" w:hAnsi="Arial" w:cs="Arial"/>
              </w:rPr>
              <w:t>Use proximity strategies</w:t>
            </w:r>
          </w:p>
          <w:p w14:paraId="1A5A49AF" w14:textId="77777777" w:rsidR="00833984" w:rsidRPr="00EF2C4C" w:rsidRDefault="00833984" w:rsidP="00901AC2">
            <w:pPr>
              <w:rPr>
                <w:rFonts w:ascii="Arial" w:hAnsi="Arial" w:cs="Arial"/>
                <w:sz w:val="10"/>
                <w:szCs w:val="10"/>
              </w:rPr>
            </w:pPr>
          </w:p>
        </w:tc>
        <w:bookmarkStart w:id="0" w:name="_GoBack"/>
        <w:bookmarkEnd w:id="0"/>
      </w:tr>
    </w:tbl>
    <w:p w14:paraId="0F45ED1B" w14:textId="77777777" w:rsidR="00833984" w:rsidRPr="00331BE2" w:rsidRDefault="00833984" w:rsidP="00833984">
      <w:pPr>
        <w:rPr>
          <w:rFonts w:ascii="Arial" w:hAnsi="Arial" w:cs="Arial"/>
          <w:sz w:val="12"/>
          <w:szCs w:val="12"/>
        </w:rPr>
      </w:pPr>
    </w:p>
    <w:p w14:paraId="4548523A" w14:textId="77777777" w:rsidR="005D6053" w:rsidRDefault="005D6053" w:rsidP="00833984">
      <w:pPr>
        <w:rPr>
          <w:rFonts w:ascii="Arial" w:hAnsi="Arial" w:cs="Arial"/>
        </w:rPr>
      </w:pPr>
    </w:p>
    <w:p w14:paraId="08A5D4FE" w14:textId="77777777" w:rsidR="00833984" w:rsidRPr="00EF2C4C" w:rsidRDefault="00833984" w:rsidP="00833984">
      <w:pPr>
        <w:rPr>
          <w:rFonts w:ascii="Arial" w:hAnsi="Arial" w:cs="Arial"/>
        </w:rPr>
      </w:pPr>
      <w:r>
        <w:rPr>
          <w:rFonts w:ascii="Arial" w:hAnsi="Arial" w:cs="Arial"/>
        </w:rPr>
        <w:t xml:space="preserve">Lieberman, L.J., &amp; Houston-Wilson, C. (2009). </w:t>
      </w:r>
      <w:r>
        <w:rPr>
          <w:rFonts w:ascii="Arial" w:hAnsi="Arial" w:cs="Arial"/>
          <w:i/>
        </w:rPr>
        <w:t>Strategies for inclusion: A handbook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p w14:paraId="5CE8BFE1" w14:textId="77777777" w:rsidR="00223685" w:rsidRDefault="00223685"/>
    <w:sectPr w:rsidR="00223685" w:rsidSect="002F44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F04F" w14:textId="77777777" w:rsidR="00160EB0" w:rsidRDefault="00160EB0" w:rsidP="00833984">
      <w:r>
        <w:separator/>
      </w:r>
    </w:p>
  </w:endnote>
  <w:endnote w:type="continuationSeparator" w:id="0">
    <w:p w14:paraId="72CCD9CD" w14:textId="77777777" w:rsidR="00160EB0" w:rsidRDefault="00160EB0" w:rsidP="008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2536" w14:textId="77777777" w:rsidR="00160EB0" w:rsidRDefault="00160EB0" w:rsidP="00833984">
      <w:r>
        <w:separator/>
      </w:r>
    </w:p>
  </w:footnote>
  <w:footnote w:type="continuationSeparator" w:id="0">
    <w:p w14:paraId="7D3D1B6E" w14:textId="77777777" w:rsidR="00160EB0" w:rsidRDefault="00160EB0" w:rsidP="008339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DFC47" w14:textId="15626E87" w:rsidR="00344762" w:rsidRDefault="005D6053" w:rsidP="00833984">
    <w:pPr>
      <w:pStyle w:val="Header"/>
      <w:jc w:val="center"/>
    </w:pPr>
    <w:r>
      <w:rPr>
        <w:noProof/>
      </w:rPr>
      <w:drawing>
        <wp:anchor distT="0" distB="0" distL="114300" distR="114300" simplePos="0" relativeHeight="251658240" behindDoc="1" locked="0" layoutInCell="1" allowOverlap="1" wp14:anchorId="781AB46F" wp14:editId="0C62CC67">
          <wp:simplePos x="0" y="0"/>
          <wp:positionH relativeFrom="column">
            <wp:posOffset>12700</wp:posOffset>
          </wp:positionH>
          <wp:positionV relativeFrom="paragraph">
            <wp:posOffset>0</wp:posOffset>
          </wp:positionV>
          <wp:extent cx="6821424" cy="115214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png"/>
                  <pic:cNvPicPr/>
                </pic:nvPicPr>
                <pic:blipFill>
                  <a:blip r:embed="rId1">
                    <a:extLst>
                      <a:ext uri="{28A0092B-C50C-407E-A947-70E740481C1C}">
                        <a14:useLocalDpi xmlns:a14="http://schemas.microsoft.com/office/drawing/2010/main" val="0"/>
                      </a:ext>
                    </a:extLst>
                  </a:blip>
                  <a:stretch>
                    <a:fillRect/>
                  </a:stretch>
                </pic:blipFill>
                <pic:spPr>
                  <a:xfrm>
                    <a:off x="0" y="0"/>
                    <a:ext cx="6821424"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75pt;height:175pt" o:bullet="t">
        <v:imagedata r:id="rId1" o:title="M-01-checkmark"/>
      </v:shape>
    </w:pict>
  </w:numPicBullet>
  <w:numPicBullet w:numPicBulletId="1">
    <w:pict>
      <v:shape id="_x0000_i1119" type="#_x0000_t75" style="width:175pt;height:175pt" o:bullet="t">
        <v:imagedata r:id="rId2" o:title="I-09_Checkmark.png"/>
      </v:shape>
    </w:pict>
  </w:numPicBullet>
  <w:abstractNum w:abstractNumId="0">
    <w:nsid w:val="103C08F0"/>
    <w:multiLevelType w:val="hybridMultilevel"/>
    <w:tmpl w:val="6B249E5C"/>
    <w:lvl w:ilvl="0" w:tplc="373C404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84"/>
    <w:rsid w:val="00144CAE"/>
    <w:rsid w:val="00160EB0"/>
    <w:rsid w:val="00223685"/>
    <w:rsid w:val="005D6053"/>
    <w:rsid w:val="00833984"/>
    <w:rsid w:val="009927BD"/>
    <w:rsid w:val="00AF77A3"/>
    <w:rsid w:val="00DD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A1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98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984"/>
    <w:pPr>
      <w:ind w:left="720"/>
      <w:contextualSpacing/>
    </w:pPr>
  </w:style>
  <w:style w:type="paragraph" w:styleId="Header">
    <w:name w:val="header"/>
    <w:basedOn w:val="Normal"/>
    <w:link w:val="HeaderChar"/>
    <w:uiPriority w:val="99"/>
    <w:unhideWhenUsed/>
    <w:rsid w:val="00833984"/>
    <w:pPr>
      <w:tabs>
        <w:tab w:val="center" w:pos="4320"/>
        <w:tab w:val="right" w:pos="8640"/>
      </w:tabs>
    </w:pPr>
  </w:style>
  <w:style w:type="character" w:customStyle="1" w:styleId="HeaderChar">
    <w:name w:val="Header Char"/>
    <w:basedOn w:val="DefaultParagraphFont"/>
    <w:link w:val="Header"/>
    <w:uiPriority w:val="99"/>
    <w:rsid w:val="00833984"/>
    <w:rPr>
      <w:rFonts w:eastAsiaTheme="minorEastAsia"/>
    </w:rPr>
  </w:style>
  <w:style w:type="paragraph" w:styleId="Footer">
    <w:name w:val="footer"/>
    <w:basedOn w:val="Normal"/>
    <w:link w:val="FooterChar"/>
    <w:uiPriority w:val="99"/>
    <w:unhideWhenUsed/>
    <w:rsid w:val="00833984"/>
    <w:pPr>
      <w:tabs>
        <w:tab w:val="center" w:pos="4680"/>
        <w:tab w:val="right" w:pos="9360"/>
      </w:tabs>
    </w:pPr>
  </w:style>
  <w:style w:type="character" w:customStyle="1" w:styleId="FooterChar">
    <w:name w:val="Footer Char"/>
    <w:basedOn w:val="DefaultParagraphFont"/>
    <w:link w:val="Footer"/>
    <w:uiPriority w:val="99"/>
    <w:rsid w:val="008339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2016-03-23T06:44:00Z</dcterms:created>
  <dcterms:modified xsi:type="dcterms:W3CDTF">2016-03-23T06:44:00Z</dcterms:modified>
</cp:coreProperties>
</file>