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CAE0" w14:textId="77777777" w:rsidR="00982120" w:rsidRDefault="00982120" w:rsidP="00982120">
      <w:pPr>
        <w:ind w:left="450" w:right="450"/>
        <w:jc w:val="both"/>
        <w:rPr>
          <w:rFonts w:ascii="Arial" w:hAnsi="Arial" w:cs="Arial"/>
          <w:b/>
        </w:rPr>
      </w:pPr>
    </w:p>
    <w:p w14:paraId="0C8E0603" w14:textId="77777777" w:rsidR="00982120" w:rsidRDefault="00982120" w:rsidP="00982120">
      <w:pPr>
        <w:ind w:left="450" w:right="450"/>
        <w:jc w:val="both"/>
        <w:rPr>
          <w:rFonts w:ascii="Arial" w:hAnsi="Arial" w:cs="Arial"/>
          <w:b/>
        </w:rPr>
      </w:pPr>
    </w:p>
    <w:p w14:paraId="14A317A6" w14:textId="77777777" w:rsidR="00982120" w:rsidRDefault="00982120" w:rsidP="00982120">
      <w:pPr>
        <w:ind w:left="450" w:right="450"/>
        <w:jc w:val="both"/>
        <w:rPr>
          <w:rFonts w:ascii="Arial" w:hAnsi="Arial" w:cs="Arial"/>
          <w:b/>
        </w:rPr>
      </w:pPr>
    </w:p>
    <w:p w14:paraId="53600129" w14:textId="77777777" w:rsidR="00982120" w:rsidRDefault="00982120" w:rsidP="00982120">
      <w:pPr>
        <w:ind w:left="450" w:right="450"/>
        <w:jc w:val="both"/>
        <w:rPr>
          <w:rFonts w:ascii="Arial" w:hAnsi="Arial" w:cs="Arial"/>
          <w:b/>
        </w:rPr>
      </w:pPr>
    </w:p>
    <w:p w14:paraId="5973A65F" w14:textId="77777777" w:rsidR="00982120" w:rsidRDefault="00982120" w:rsidP="00982120">
      <w:pPr>
        <w:ind w:left="450" w:right="450"/>
        <w:jc w:val="both"/>
        <w:rPr>
          <w:rFonts w:ascii="Arial" w:hAnsi="Arial" w:cs="Arial"/>
          <w:b/>
        </w:rPr>
      </w:pPr>
    </w:p>
    <w:p w14:paraId="737EE09C" w14:textId="77777777" w:rsidR="00982120" w:rsidRDefault="00982120" w:rsidP="00982120">
      <w:pPr>
        <w:ind w:left="450" w:right="450"/>
        <w:jc w:val="both"/>
        <w:rPr>
          <w:rFonts w:ascii="Arial" w:hAnsi="Arial" w:cs="Arial"/>
          <w:b/>
        </w:rPr>
      </w:pPr>
    </w:p>
    <w:p w14:paraId="4536DFCF" w14:textId="44C277E8" w:rsidR="00982120" w:rsidRDefault="00982120" w:rsidP="00982120">
      <w:pPr>
        <w:ind w:left="450" w:right="450"/>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6534F18C" w14:textId="77777777" w:rsidR="00982120" w:rsidRPr="002F7C51" w:rsidRDefault="00982120" w:rsidP="00982120">
      <w:pPr>
        <w:ind w:left="450" w:right="450"/>
        <w:jc w:val="both"/>
        <w:rPr>
          <w:rFonts w:ascii="Arial" w:hAnsi="Arial" w:cs="Arial"/>
          <w:sz w:val="12"/>
          <w:szCs w:val="12"/>
        </w:rPr>
      </w:pPr>
    </w:p>
    <w:p w14:paraId="3B237089" w14:textId="77777777" w:rsidR="00982120" w:rsidRDefault="00982120" w:rsidP="00982120">
      <w:pPr>
        <w:ind w:left="450" w:right="450"/>
        <w:jc w:val="both"/>
        <w:rPr>
          <w:rFonts w:ascii="Arial" w:hAnsi="Arial" w:cs="Arial"/>
        </w:rPr>
      </w:pPr>
      <w:r>
        <w:rPr>
          <w:rFonts w:ascii="Arial" w:hAnsi="Arial" w:cs="Arial"/>
        </w:rPr>
        <w:t xml:space="preserve">OPEN has embraced this responsibility by creating suggested Universal Design Adaptations intended to serve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59A10817" w14:textId="77777777" w:rsidR="00982120" w:rsidRPr="00C50DD9" w:rsidRDefault="00982120" w:rsidP="00982120">
      <w:pPr>
        <w:ind w:left="450" w:right="450"/>
        <w:jc w:val="both"/>
        <w:rPr>
          <w:rFonts w:ascii="Arial" w:hAnsi="Arial" w:cs="Arial"/>
          <w:sz w:val="12"/>
          <w:szCs w:val="12"/>
        </w:rPr>
      </w:pPr>
    </w:p>
    <w:p w14:paraId="11C04FC5" w14:textId="77777777" w:rsidR="00982120" w:rsidRDefault="00982120" w:rsidP="00982120">
      <w:pPr>
        <w:ind w:left="450" w:right="450"/>
        <w:jc w:val="both"/>
        <w:rPr>
          <w:rFonts w:ascii="Arial" w:hAnsi="Arial" w:cs="Arial"/>
        </w:rPr>
      </w:pPr>
      <w:r>
        <w:rPr>
          <w:rFonts w:ascii="Arial" w:hAnsi="Arial" w:cs="Arial"/>
        </w:rPr>
        <w:t xml:space="preserve">The table below offers additional adaptations in an effort to move closer to the </w:t>
      </w:r>
      <w:r w:rsidRPr="00EE770C">
        <w:rPr>
          <w:rFonts w:ascii="Arial" w:hAnsi="Arial" w:cs="Arial"/>
          <w:noProof/>
        </w:rPr>
        <w:t>ideal</w:t>
      </w:r>
      <w:r>
        <w:rPr>
          <w:rFonts w:ascii="Arial" w:hAnsi="Arial" w:cs="Arial"/>
        </w:rPr>
        <w:t xml:space="preserve"> of Universal Design.</w:t>
      </w:r>
    </w:p>
    <w:p w14:paraId="19C1043F" w14:textId="77777777" w:rsidR="00982120" w:rsidRPr="00541BEA" w:rsidRDefault="00982120" w:rsidP="00982120">
      <w:pPr>
        <w:jc w:val="center"/>
        <w:rPr>
          <w:rFonts w:ascii="Arial" w:hAnsi="Arial" w:cs="Arial"/>
          <w:b/>
        </w:rPr>
      </w:pPr>
      <w:r w:rsidRPr="002F7C51">
        <w:rPr>
          <w:rFonts w:ascii="Arial" w:hAnsi="Arial" w:cs="Arial"/>
          <w:b/>
        </w:rPr>
        <w:t>Potential Universal Design Adaptations for</w:t>
      </w:r>
      <w:r>
        <w:rPr>
          <w:rFonts w:ascii="Arial" w:hAnsi="Arial" w:cs="Arial"/>
          <w:b/>
        </w:rPr>
        <w:t xml:space="preserve"> Plug &amp; Play Fitness</w:t>
      </w:r>
    </w:p>
    <w:tbl>
      <w:tblPr>
        <w:tblStyle w:val="TableGrid"/>
        <w:tblW w:w="0" w:type="auto"/>
        <w:jc w:val="center"/>
        <w:tblBorders>
          <w:top w:val="single" w:sz="4" w:space="0" w:color="2C9A43"/>
          <w:left w:val="single" w:sz="4" w:space="0" w:color="2C9A43"/>
          <w:bottom w:val="single" w:sz="4" w:space="0" w:color="2C9A43"/>
          <w:right w:val="single" w:sz="4" w:space="0" w:color="2C9A43"/>
          <w:insideH w:val="single" w:sz="4" w:space="0" w:color="2C9A43"/>
          <w:insideV w:val="single" w:sz="4" w:space="0" w:color="2C9A43"/>
        </w:tblBorders>
        <w:tblCellMar>
          <w:top w:w="43" w:type="dxa"/>
          <w:left w:w="115" w:type="dxa"/>
          <w:bottom w:w="43" w:type="dxa"/>
          <w:right w:w="115" w:type="dxa"/>
        </w:tblCellMar>
        <w:tblLook w:val="04A0" w:firstRow="1" w:lastRow="0" w:firstColumn="1" w:lastColumn="0" w:noHBand="0" w:noVBand="1"/>
      </w:tblPr>
      <w:tblGrid>
        <w:gridCol w:w="2304"/>
        <w:gridCol w:w="2304"/>
        <w:gridCol w:w="2304"/>
        <w:gridCol w:w="2304"/>
      </w:tblGrid>
      <w:tr w:rsidR="00982120" w:rsidRPr="00EF2C4C" w14:paraId="75D1D9D6" w14:textId="77777777" w:rsidTr="006A4189">
        <w:trPr>
          <w:trHeight w:val="323"/>
          <w:jc w:val="center"/>
        </w:trPr>
        <w:tc>
          <w:tcPr>
            <w:tcW w:w="2304" w:type="dxa"/>
            <w:shd w:val="clear" w:color="auto" w:fill="2C9A43"/>
          </w:tcPr>
          <w:p w14:paraId="1CCCA9E6" w14:textId="77777777" w:rsidR="00982120" w:rsidRPr="00EF2C4C" w:rsidRDefault="00982120" w:rsidP="00E07071">
            <w:pPr>
              <w:jc w:val="center"/>
              <w:rPr>
                <w:rFonts w:ascii="Arial" w:hAnsi="Arial" w:cs="Arial"/>
                <w:b/>
                <w:color w:val="FFFFFF" w:themeColor="background1"/>
              </w:rPr>
            </w:pPr>
            <w:bookmarkStart w:id="0" w:name="_GoBack"/>
            <w:bookmarkEnd w:id="0"/>
            <w:r w:rsidRPr="00EF2C4C">
              <w:rPr>
                <w:rFonts w:ascii="Arial" w:hAnsi="Arial" w:cs="Arial"/>
                <w:b/>
                <w:color w:val="FFFFFF" w:themeColor="background1"/>
              </w:rPr>
              <w:t>Equipment</w:t>
            </w:r>
          </w:p>
        </w:tc>
        <w:tc>
          <w:tcPr>
            <w:tcW w:w="2304" w:type="dxa"/>
            <w:shd w:val="clear" w:color="auto" w:fill="2C9A43"/>
          </w:tcPr>
          <w:p w14:paraId="729E9B31" w14:textId="77777777" w:rsidR="00982120" w:rsidRPr="00EF2C4C" w:rsidRDefault="00982120" w:rsidP="00E07071">
            <w:pPr>
              <w:jc w:val="center"/>
              <w:rPr>
                <w:rFonts w:ascii="Arial" w:hAnsi="Arial" w:cs="Arial"/>
                <w:b/>
                <w:color w:val="FFFFFF" w:themeColor="background1"/>
              </w:rPr>
            </w:pPr>
            <w:r w:rsidRPr="00EF2C4C">
              <w:rPr>
                <w:rFonts w:ascii="Arial" w:hAnsi="Arial" w:cs="Arial"/>
                <w:b/>
                <w:color w:val="FFFFFF" w:themeColor="background1"/>
              </w:rPr>
              <w:t>Rules</w:t>
            </w:r>
          </w:p>
        </w:tc>
        <w:tc>
          <w:tcPr>
            <w:tcW w:w="2304" w:type="dxa"/>
            <w:shd w:val="clear" w:color="auto" w:fill="2C9A43"/>
          </w:tcPr>
          <w:p w14:paraId="49B4A14F" w14:textId="77777777" w:rsidR="00982120" w:rsidRPr="00EF2C4C" w:rsidRDefault="00982120" w:rsidP="00E07071">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304" w:type="dxa"/>
            <w:shd w:val="clear" w:color="auto" w:fill="2C9A43"/>
          </w:tcPr>
          <w:p w14:paraId="319D2CF1" w14:textId="77777777" w:rsidR="00982120" w:rsidRPr="00EF2C4C" w:rsidRDefault="00982120" w:rsidP="00E07071">
            <w:pPr>
              <w:jc w:val="center"/>
              <w:rPr>
                <w:rFonts w:ascii="Arial" w:hAnsi="Arial" w:cs="Arial"/>
                <w:b/>
                <w:color w:val="FFFFFF" w:themeColor="background1"/>
              </w:rPr>
            </w:pPr>
            <w:r w:rsidRPr="00EF2C4C">
              <w:rPr>
                <w:rFonts w:ascii="Arial" w:hAnsi="Arial" w:cs="Arial"/>
                <w:b/>
                <w:color w:val="FFFFFF" w:themeColor="background1"/>
              </w:rPr>
              <w:t>Instruction</w:t>
            </w:r>
          </w:p>
        </w:tc>
      </w:tr>
      <w:tr w:rsidR="00982120" w:rsidRPr="00EF2C4C" w14:paraId="0710BA17" w14:textId="77777777" w:rsidTr="006A4189">
        <w:trPr>
          <w:trHeight w:val="5282"/>
          <w:jc w:val="center"/>
        </w:trPr>
        <w:tc>
          <w:tcPr>
            <w:tcW w:w="2304" w:type="dxa"/>
            <w:shd w:val="clear" w:color="auto" w:fill="auto"/>
          </w:tcPr>
          <w:p w14:paraId="0E9EE11A" w14:textId="77777777" w:rsidR="00982120" w:rsidRDefault="00982120" w:rsidP="006A4189">
            <w:pPr>
              <w:pStyle w:val="ListParagraph"/>
              <w:numPr>
                <w:ilvl w:val="0"/>
                <w:numId w:val="2"/>
              </w:numPr>
              <w:rPr>
                <w:rFonts w:ascii="Arial" w:hAnsi="Arial" w:cs="Arial"/>
              </w:rPr>
            </w:pPr>
            <w:r>
              <w:rPr>
                <w:rFonts w:ascii="Arial" w:hAnsi="Arial" w:cs="Arial"/>
              </w:rPr>
              <w:t>Provide activity cards in large-print versions or use an LCD projector</w:t>
            </w:r>
          </w:p>
          <w:p w14:paraId="002E6DC1" w14:textId="77777777" w:rsidR="00982120" w:rsidRDefault="00982120" w:rsidP="006A4189">
            <w:pPr>
              <w:pStyle w:val="ListParagraph"/>
              <w:numPr>
                <w:ilvl w:val="0"/>
                <w:numId w:val="2"/>
              </w:numPr>
              <w:rPr>
                <w:rFonts w:ascii="Arial" w:hAnsi="Arial" w:cs="Arial"/>
              </w:rPr>
            </w:pPr>
            <w:r>
              <w:rPr>
                <w:rFonts w:ascii="Arial" w:hAnsi="Arial" w:cs="Arial"/>
              </w:rPr>
              <w:t>Provide equipment of various sizes</w:t>
            </w:r>
          </w:p>
          <w:p w14:paraId="10352749" w14:textId="77777777" w:rsidR="00982120" w:rsidRDefault="00982120" w:rsidP="006A4189">
            <w:pPr>
              <w:pStyle w:val="ListParagraph"/>
              <w:numPr>
                <w:ilvl w:val="0"/>
                <w:numId w:val="2"/>
              </w:numPr>
              <w:rPr>
                <w:rFonts w:ascii="Arial" w:hAnsi="Arial" w:cs="Arial"/>
              </w:rPr>
            </w:pPr>
            <w:r>
              <w:rPr>
                <w:rFonts w:ascii="Arial" w:hAnsi="Arial" w:cs="Arial"/>
              </w:rPr>
              <w:t>Utilize a variety of balls and bean-bag-style objects that are easy to see, hold, throw, and strike</w:t>
            </w:r>
          </w:p>
          <w:p w14:paraId="6230C867" w14:textId="77777777" w:rsidR="00982120" w:rsidRPr="00167394" w:rsidRDefault="00982120" w:rsidP="006A4189">
            <w:pPr>
              <w:pStyle w:val="ListParagraph"/>
              <w:numPr>
                <w:ilvl w:val="0"/>
                <w:numId w:val="2"/>
              </w:numPr>
              <w:rPr>
                <w:rFonts w:ascii="Arial" w:hAnsi="Arial" w:cs="Arial"/>
              </w:rPr>
            </w:pPr>
            <w:r>
              <w:rPr>
                <w:rFonts w:ascii="Arial" w:hAnsi="Arial" w:cs="Arial"/>
              </w:rPr>
              <w:t>Increase or decrease the amount of equipment used in an activity to decrease the complexity</w:t>
            </w:r>
          </w:p>
        </w:tc>
        <w:tc>
          <w:tcPr>
            <w:tcW w:w="2304" w:type="dxa"/>
            <w:shd w:val="clear" w:color="auto" w:fill="auto"/>
          </w:tcPr>
          <w:p w14:paraId="0484F810" w14:textId="77777777" w:rsidR="00982120" w:rsidRDefault="00982120" w:rsidP="006A4189">
            <w:pPr>
              <w:pStyle w:val="ListParagraph"/>
              <w:numPr>
                <w:ilvl w:val="0"/>
                <w:numId w:val="3"/>
              </w:numPr>
              <w:rPr>
                <w:rFonts w:ascii="Arial" w:hAnsi="Arial" w:cs="Arial"/>
              </w:rPr>
            </w:pPr>
            <w:r>
              <w:rPr>
                <w:rFonts w:ascii="Arial" w:hAnsi="Arial" w:cs="Arial"/>
              </w:rPr>
              <w:t>Change the boundaries of activities to allow for more or less movement</w:t>
            </w:r>
          </w:p>
          <w:p w14:paraId="7C2D1EED" w14:textId="77777777" w:rsidR="00982120" w:rsidRDefault="00982120" w:rsidP="006A4189">
            <w:pPr>
              <w:pStyle w:val="ListParagraph"/>
              <w:numPr>
                <w:ilvl w:val="0"/>
                <w:numId w:val="3"/>
              </w:numPr>
              <w:rPr>
                <w:rFonts w:ascii="Arial" w:hAnsi="Arial" w:cs="Arial"/>
              </w:rPr>
            </w:pPr>
            <w:r>
              <w:rPr>
                <w:rFonts w:ascii="Arial" w:hAnsi="Arial" w:cs="Arial"/>
              </w:rPr>
              <w:t>Provide students with the opportunity to modify rules to match their skills and interests</w:t>
            </w:r>
          </w:p>
          <w:p w14:paraId="6A08753D" w14:textId="77777777" w:rsidR="00982120" w:rsidRDefault="00982120" w:rsidP="006A4189">
            <w:pPr>
              <w:pStyle w:val="ListParagraph"/>
              <w:numPr>
                <w:ilvl w:val="0"/>
                <w:numId w:val="3"/>
              </w:numPr>
              <w:rPr>
                <w:rFonts w:ascii="Arial" w:hAnsi="Arial" w:cs="Arial"/>
              </w:rPr>
            </w:pPr>
            <w:r>
              <w:rPr>
                <w:rFonts w:ascii="Arial" w:hAnsi="Arial" w:cs="Arial"/>
              </w:rPr>
              <w:t>Create custom exercise cards and charts to meet the needs of students</w:t>
            </w:r>
          </w:p>
          <w:p w14:paraId="61868AD6" w14:textId="77777777" w:rsidR="00982120" w:rsidRPr="00EF2C4C" w:rsidRDefault="00982120" w:rsidP="00E07071">
            <w:pPr>
              <w:pStyle w:val="ListParagraph"/>
              <w:ind w:left="360"/>
              <w:rPr>
                <w:rFonts w:ascii="Arial" w:hAnsi="Arial" w:cs="Arial"/>
              </w:rPr>
            </w:pPr>
          </w:p>
        </w:tc>
        <w:tc>
          <w:tcPr>
            <w:tcW w:w="2304" w:type="dxa"/>
            <w:shd w:val="clear" w:color="auto" w:fill="auto"/>
          </w:tcPr>
          <w:p w14:paraId="04A69E9A" w14:textId="77777777" w:rsidR="00982120" w:rsidRDefault="00982120" w:rsidP="006A4189">
            <w:pPr>
              <w:pStyle w:val="ListParagraph"/>
              <w:numPr>
                <w:ilvl w:val="0"/>
                <w:numId w:val="4"/>
              </w:numPr>
              <w:rPr>
                <w:rFonts w:ascii="Arial" w:hAnsi="Arial" w:cs="Arial"/>
              </w:rPr>
            </w:pPr>
            <w:r>
              <w:rPr>
                <w:rFonts w:ascii="Arial" w:hAnsi="Arial" w:cs="Arial"/>
              </w:rPr>
              <w:t>Provide visual cues and reminders throughout the activity area</w:t>
            </w:r>
          </w:p>
          <w:p w14:paraId="071F36A4" w14:textId="77777777" w:rsidR="00982120" w:rsidRPr="00483AE0" w:rsidRDefault="00982120" w:rsidP="006A4189">
            <w:pPr>
              <w:pStyle w:val="ListParagraph"/>
              <w:numPr>
                <w:ilvl w:val="0"/>
                <w:numId w:val="4"/>
              </w:numPr>
              <w:rPr>
                <w:rFonts w:ascii="Arial" w:hAnsi="Arial" w:cs="Arial"/>
              </w:rPr>
            </w:pPr>
            <w:r>
              <w:rPr>
                <w:rFonts w:ascii="Arial" w:hAnsi="Arial" w:cs="Arial"/>
              </w:rPr>
              <w:t>Create smaller versions of activities managed in a station-style format</w:t>
            </w:r>
          </w:p>
        </w:tc>
        <w:tc>
          <w:tcPr>
            <w:tcW w:w="2304" w:type="dxa"/>
            <w:shd w:val="clear" w:color="auto" w:fill="auto"/>
          </w:tcPr>
          <w:p w14:paraId="6EF9E162" w14:textId="77777777" w:rsidR="00982120" w:rsidRPr="00167394" w:rsidRDefault="00982120" w:rsidP="006A4189">
            <w:pPr>
              <w:pStyle w:val="ListParagraph"/>
              <w:numPr>
                <w:ilvl w:val="0"/>
                <w:numId w:val="5"/>
              </w:numPr>
              <w:ind w:left="362"/>
              <w:rPr>
                <w:rFonts w:ascii="Arial" w:hAnsi="Arial" w:cs="Arial"/>
              </w:rPr>
            </w:pPr>
            <w:r w:rsidRPr="00167394">
              <w:rPr>
                <w:rFonts w:ascii="Arial" w:hAnsi="Arial" w:cs="Arial"/>
              </w:rPr>
              <w:t>Provide a variety of demonstrations and cues to help students e</w:t>
            </w:r>
            <w:r>
              <w:rPr>
                <w:rFonts w:ascii="Arial" w:hAnsi="Arial" w:cs="Arial"/>
              </w:rPr>
              <w:t>xperience perfect exercise form</w:t>
            </w:r>
          </w:p>
          <w:p w14:paraId="03484D43" w14:textId="77777777" w:rsidR="00982120" w:rsidRDefault="00982120" w:rsidP="006A4189">
            <w:pPr>
              <w:pStyle w:val="ListParagraph"/>
              <w:numPr>
                <w:ilvl w:val="0"/>
                <w:numId w:val="5"/>
              </w:numPr>
              <w:ind w:left="362"/>
              <w:rPr>
                <w:rFonts w:ascii="Arial" w:hAnsi="Arial" w:cs="Arial"/>
              </w:rPr>
            </w:pPr>
            <w:r>
              <w:rPr>
                <w:rFonts w:ascii="Arial" w:hAnsi="Arial" w:cs="Arial"/>
              </w:rPr>
              <w:t>Provide ongoing verbal cues</w:t>
            </w:r>
          </w:p>
          <w:p w14:paraId="07C8C31C" w14:textId="77777777" w:rsidR="00982120" w:rsidRDefault="00982120" w:rsidP="006A4189">
            <w:pPr>
              <w:pStyle w:val="ListParagraph"/>
              <w:numPr>
                <w:ilvl w:val="0"/>
                <w:numId w:val="5"/>
              </w:numPr>
              <w:ind w:left="362"/>
              <w:rPr>
                <w:rFonts w:ascii="Arial" w:hAnsi="Arial" w:cs="Arial"/>
              </w:rPr>
            </w:pPr>
            <w:r>
              <w:rPr>
                <w:rFonts w:ascii="Arial" w:hAnsi="Arial" w:cs="Arial"/>
              </w:rPr>
              <w:t>Use peer tutors to assist with instruction and participation</w:t>
            </w:r>
          </w:p>
          <w:p w14:paraId="3BF1AC64" w14:textId="77777777" w:rsidR="00982120" w:rsidRDefault="00982120" w:rsidP="006A4189">
            <w:pPr>
              <w:pStyle w:val="ListParagraph"/>
              <w:numPr>
                <w:ilvl w:val="0"/>
                <w:numId w:val="5"/>
              </w:numPr>
              <w:ind w:left="362"/>
              <w:rPr>
                <w:rFonts w:ascii="Arial" w:hAnsi="Arial" w:cs="Arial"/>
              </w:rPr>
            </w:pPr>
            <w:r>
              <w:rPr>
                <w:rFonts w:ascii="Arial" w:hAnsi="Arial" w:cs="Arial"/>
              </w:rPr>
              <w:t>Use pictures and/or video for instruction</w:t>
            </w:r>
          </w:p>
          <w:p w14:paraId="416F5109" w14:textId="77777777" w:rsidR="00982120" w:rsidRPr="00EF2C4C" w:rsidRDefault="00982120" w:rsidP="006A4189">
            <w:pPr>
              <w:pStyle w:val="ListParagraph"/>
              <w:numPr>
                <w:ilvl w:val="0"/>
                <w:numId w:val="5"/>
              </w:numPr>
              <w:ind w:left="362"/>
              <w:rPr>
                <w:rFonts w:ascii="Arial" w:hAnsi="Arial" w:cs="Arial"/>
              </w:rPr>
            </w:pPr>
            <w:r>
              <w:rPr>
                <w:rFonts w:ascii="Arial" w:hAnsi="Arial" w:cs="Arial"/>
              </w:rPr>
              <w:t>Individualize instruction with one-to-one interactions</w:t>
            </w:r>
          </w:p>
          <w:p w14:paraId="66849338" w14:textId="77777777" w:rsidR="00982120" w:rsidRPr="00EF2C4C" w:rsidRDefault="00982120" w:rsidP="006A4189">
            <w:pPr>
              <w:ind w:left="362" w:hanging="360"/>
              <w:jc w:val="center"/>
              <w:rPr>
                <w:rFonts w:ascii="Arial" w:hAnsi="Arial" w:cs="Arial"/>
                <w:sz w:val="10"/>
                <w:szCs w:val="10"/>
              </w:rPr>
            </w:pPr>
          </w:p>
        </w:tc>
      </w:tr>
    </w:tbl>
    <w:p w14:paraId="27BFC9AA" w14:textId="77777777" w:rsidR="00982120" w:rsidRPr="00331BE2" w:rsidRDefault="00982120" w:rsidP="00982120">
      <w:pPr>
        <w:rPr>
          <w:rFonts w:ascii="Arial" w:hAnsi="Arial" w:cs="Arial"/>
          <w:sz w:val="12"/>
          <w:szCs w:val="12"/>
        </w:rPr>
      </w:pPr>
    </w:p>
    <w:p w14:paraId="03A85946" w14:textId="77777777" w:rsidR="00982120" w:rsidRDefault="00982120" w:rsidP="00982120">
      <w:pPr>
        <w:rPr>
          <w:rFonts w:ascii="Arial" w:hAnsi="Arial" w:cs="Arial"/>
        </w:rPr>
      </w:pPr>
    </w:p>
    <w:p w14:paraId="6C759616" w14:textId="77777777" w:rsidR="00982120" w:rsidRDefault="00982120" w:rsidP="00982120">
      <w:pPr>
        <w:ind w:left="450" w:right="450"/>
      </w:pPr>
      <w:r>
        <w:rPr>
          <w:rFonts w:ascii="Arial" w:hAnsi="Arial" w:cs="Arial"/>
        </w:rPr>
        <w:t xml:space="preserve">Lieberman, L.J., &amp; Houston-Wilson, C. (2009). </w:t>
      </w:r>
      <w:r>
        <w:rPr>
          <w:rFonts w:ascii="Arial" w:hAnsi="Arial" w:cs="Arial"/>
          <w:i/>
        </w:rPr>
        <w:t xml:space="preserve">Strategies for inclusion: A </w:t>
      </w:r>
      <w:r w:rsidRPr="00EE770C">
        <w:rPr>
          <w:rFonts w:ascii="Arial" w:hAnsi="Arial" w:cs="Arial"/>
          <w:i/>
          <w:noProof/>
        </w:rPr>
        <w:t>handbook</w:t>
      </w:r>
      <w:r>
        <w:rPr>
          <w:rFonts w:ascii="Arial" w:hAnsi="Arial" w:cs="Arial"/>
          <w:i/>
        </w:rPr>
        <w:t xml:space="preserve"> for Physical 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p w14:paraId="0E9EE40C" w14:textId="1CC4AD1B" w:rsidR="00794312" w:rsidRDefault="00794312" w:rsidP="00A902A4">
      <w:pPr>
        <w:pBdr>
          <w:between w:val="single" w:sz="4" w:space="1" w:color="F26B6B"/>
        </w:pBdr>
      </w:pPr>
    </w:p>
    <w:sectPr w:rsidR="00794312" w:rsidSect="00CB2756">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0B3C" w14:textId="77777777" w:rsidR="000B062B" w:rsidRDefault="000B062B" w:rsidP="00B72686">
      <w:r>
        <w:separator/>
      </w:r>
    </w:p>
  </w:endnote>
  <w:endnote w:type="continuationSeparator" w:id="0">
    <w:p w14:paraId="66CC1B14" w14:textId="77777777" w:rsidR="000B062B" w:rsidRDefault="000B062B"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1F8"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563E" w14:textId="77777777" w:rsidR="00AC7B05" w:rsidRDefault="00AC7B05" w:rsidP="003F3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331B" w14:textId="052F4962" w:rsidR="00DA093C" w:rsidRDefault="00DA093C" w:rsidP="003F33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E15B" w14:textId="77777777" w:rsidR="00472348" w:rsidRDefault="0047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D49B" w14:textId="77777777" w:rsidR="000B062B" w:rsidRDefault="000B062B" w:rsidP="00B72686">
      <w:r>
        <w:separator/>
      </w:r>
    </w:p>
  </w:footnote>
  <w:footnote w:type="continuationSeparator" w:id="0">
    <w:p w14:paraId="1831F715" w14:textId="77777777" w:rsidR="000B062B" w:rsidRDefault="000B062B" w:rsidP="00B7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E8CF" w14:textId="77777777" w:rsidR="00472348" w:rsidRDefault="00472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0093" w14:textId="77777777" w:rsidR="00DA093C" w:rsidRDefault="00DA093C">
    <w:pPr>
      <w:pStyle w:val="Header"/>
    </w:pPr>
    <w:r>
      <w:rPr>
        <w:noProof/>
      </w:rPr>
      <w:drawing>
        <wp:anchor distT="0" distB="0" distL="114300" distR="114300" simplePos="0" relativeHeight="251658240" behindDoc="1" locked="0" layoutInCell="1" allowOverlap="1" wp14:anchorId="71DFCC15" wp14:editId="1722CBAE">
          <wp:simplePos x="0" y="0"/>
          <wp:positionH relativeFrom="margin">
            <wp:posOffset>274983</wp:posOffset>
          </wp:positionH>
          <wp:positionV relativeFrom="paragraph">
            <wp:posOffset>19878</wp:posOffset>
          </wp:positionV>
          <wp:extent cx="6747327" cy="1031093"/>
          <wp:effectExtent l="0" t="0" r="9525"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47327" cy="10310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837D" w14:textId="77777777" w:rsidR="00472348" w:rsidRDefault="00472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365.15pt;height:365.15pt" o:bullet="t">
        <v:imagedata r:id="rId1" o:title="I-08_Checkmark"/>
      </v:shape>
    </w:pict>
  </w:numPicBullet>
  <w:abstractNum w:abstractNumId="0" w15:restartNumberingAfterBreak="0">
    <w:nsid w:val="0AF91769"/>
    <w:multiLevelType w:val="hybridMultilevel"/>
    <w:tmpl w:val="8C9A510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08F0"/>
    <w:multiLevelType w:val="hybridMultilevel"/>
    <w:tmpl w:val="C08C3BF2"/>
    <w:lvl w:ilvl="0" w:tplc="352E93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B4452"/>
    <w:multiLevelType w:val="hybridMultilevel"/>
    <w:tmpl w:val="8CFACAA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635C2"/>
    <w:multiLevelType w:val="hybridMultilevel"/>
    <w:tmpl w:val="122A2AD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17E2C"/>
    <w:multiLevelType w:val="hybridMultilevel"/>
    <w:tmpl w:val="7CBCB48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5FF"/>
    <w:rsid w:val="00051204"/>
    <w:rsid w:val="0007750A"/>
    <w:rsid w:val="00085896"/>
    <w:rsid w:val="000B062B"/>
    <w:rsid w:val="000B06EF"/>
    <w:rsid w:val="000D54D6"/>
    <w:rsid w:val="00120F4A"/>
    <w:rsid w:val="001D4633"/>
    <w:rsid w:val="001F675B"/>
    <w:rsid w:val="00214FEE"/>
    <w:rsid w:val="0021546B"/>
    <w:rsid w:val="00265EFA"/>
    <w:rsid w:val="002C50E8"/>
    <w:rsid w:val="0038306C"/>
    <w:rsid w:val="003A7CB8"/>
    <w:rsid w:val="003F3307"/>
    <w:rsid w:val="00404702"/>
    <w:rsid w:val="00472348"/>
    <w:rsid w:val="004955FF"/>
    <w:rsid w:val="004A27D9"/>
    <w:rsid w:val="004C1A4B"/>
    <w:rsid w:val="00581705"/>
    <w:rsid w:val="00583A10"/>
    <w:rsid w:val="005A1A92"/>
    <w:rsid w:val="005F7A66"/>
    <w:rsid w:val="0060706E"/>
    <w:rsid w:val="006A4189"/>
    <w:rsid w:val="006C6EA4"/>
    <w:rsid w:val="006F1E3F"/>
    <w:rsid w:val="00743A9E"/>
    <w:rsid w:val="00794312"/>
    <w:rsid w:val="007F285B"/>
    <w:rsid w:val="00822B25"/>
    <w:rsid w:val="00982120"/>
    <w:rsid w:val="00A30A3D"/>
    <w:rsid w:val="00A36BDE"/>
    <w:rsid w:val="00A902A4"/>
    <w:rsid w:val="00AC7B05"/>
    <w:rsid w:val="00AE69F5"/>
    <w:rsid w:val="00B205F4"/>
    <w:rsid w:val="00B72686"/>
    <w:rsid w:val="00C00A5E"/>
    <w:rsid w:val="00C30C5D"/>
    <w:rsid w:val="00C77D78"/>
    <w:rsid w:val="00CB2756"/>
    <w:rsid w:val="00DA093C"/>
    <w:rsid w:val="00E367B2"/>
    <w:rsid w:val="00ED262E"/>
    <w:rsid w:val="00EE3EC1"/>
    <w:rsid w:val="00F118EC"/>
    <w:rsid w:val="00F771AE"/>
    <w:rsid w:val="00FD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98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5DB1-EFE1-DF43-A43C-ED8D4918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4</cp:revision>
  <cp:lastPrinted>2015-02-18T15:04:00Z</cp:lastPrinted>
  <dcterms:created xsi:type="dcterms:W3CDTF">2018-03-04T23:43:00Z</dcterms:created>
  <dcterms:modified xsi:type="dcterms:W3CDTF">2018-05-20T12:00:00Z</dcterms:modified>
</cp:coreProperties>
</file>