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F822" w14:textId="77777777" w:rsidR="003A319A" w:rsidRPr="003A319A" w:rsidRDefault="003A319A">
      <w:pPr>
        <w:rPr>
          <w:rFonts w:ascii="Arial Black" w:hAnsi="Arial Black" w:cs="Arial"/>
          <w:b/>
          <w:bCs/>
          <w:sz w:val="10"/>
          <w:szCs w:val="10"/>
        </w:rPr>
      </w:pPr>
    </w:p>
    <w:p w14:paraId="7680B5ED" w14:textId="04774172" w:rsidR="00AC1E19" w:rsidRPr="008772A9" w:rsidRDefault="00AC1E19">
      <w:pPr>
        <w:rPr>
          <w:rFonts w:ascii="Arial Black" w:hAnsi="Arial Black" w:cs="Arial"/>
          <w:b/>
          <w:bCs/>
        </w:rPr>
      </w:pPr>
      <w:r w:rsidRPr="0071388B">
        <w:rPr>
          <w:rFonts w:ascii="Arial Black" w:hAnsi="Arial Black" w:cs="Arial"/>
          <w:b/>
          <w:bCs/>
        </w:rPr>
        <w:t xml:space="preserve">About </w:t>
      </w:r>
      <w:r w:rsidR="008A534E" w:rsidRPr="0071388B">
        <w:rPr>
          <w:rFonts w:ascii="Arial Black" w:hAnsi="Arial Black" w:cs="Arial"/>
          <w:b/>
          <w:bCs/>
        </w:rPr>
        <w:t>T</w:t>
      </w:r>
      <w:r w:rsidRPr="0071388B">
        <w:rPr>
          <w:rFonts w:ascii="Arial Black" w:hAnsi="Arial Black" w:cs="Arial"/>
          <w:b/>
          <w:bCs/>
        </w:rPr>
        <w:t>his Module</w:t>
      </w:r>
    </w:p>
    <w:p w14:paraId="43590154" w14:textId="2C5C01E0" w:rsidR="004C6BC4" w:rsidRPr="004C6BC4" w:rsidRDefault="004C6BC4" w:rsidP="004C6BC4">
      <w:pPr>
        <w:rPr>
          <w:rFonts w:ascii="Arial" w:hAnsi="Arial" w:cs="Arial"/>
          <w:sz w:val="22"/>
          <w:szCs w:val="22"/>
        </w:rPr>
      </w:pPr>
      <w:r w:rsidRPr="004C6BC4">
        <w:rPr>
          <w:rFonts w:ascii="Arial" w:hAnsi="Arial" w:cs="Arial"/>
          <w:sz w:val="22"/>
          <w:szCs w:val="22"/>
        </w:rPr>
        <w:t>Every year, right around the holiday season, students start to fall into a frenzy of excitement, forget their impulse control basics, and can use a little physical education etiquette reminder. OPEN's winter-themed instant activity module was designed just for that!</w:t>
      </w:r>
      <w:r>
        <w:rPr>
          <w:rFonts w:ascii="Arial" w:hAnsi="Arial" w:cs="Arial"/>
          <w:sz w:val="22"/>
          <w:szCs w:val="22"/>
        </w:rPr>
        <w:t xml:space="preserve"> </w:t>
      </w:r>
      <w:r w:rsidRPr="004C6BC4">
        <w:rPr>
          <w:rFonts w:ascii="Arial" w:hAnsi="Arial" w:cs="Arial"/>
          <w:sz w:val="22"/>
          <w:szCs w:val="22"/>
        </w:rPr>
        <w:t xml:space="preserve">We’ve organized our collection of fun and engaging instant activities with social and emotional learning academic language posters. Each academic language word are reinforce in a SEL Vocabulary Journal modeled after the journal charts described in Marine </w:t>
      </w:r>
      <w:proofErr w:type="spellStart"/>
      <w:r w:rsidRPr="004C6BC4">
        <w:rPr>
          <w:rFonts w:ascii="Arial" w:hAnsi="Arial" w:cs="Arial"/>
          <w:sz w:val="22"/>
          <w:szCs w:val="22"/>
        </w:rPr>
        <w:t>Freibrun’s</w:t>
      </w:r>
      <w:proofErr w:type="spellEnd"/>
      <w:r w:rsidRPr="004C6BC4">
        <w:rPr>
          <w:rFonts w:ascii="Arial" w:hAnsi="Arial" w:cs="Arial"/>
          <w:sz w:val="22"/>
          <w:szCs w:val="22"/>
        </w:rPr>
        <w:t xml:space="preserve"> example in her blog post – 5 Tips for Teaching Academic Language (</w:t>
      </w:r>
      <w:hyperlink r:id="rId7" w:history="1">
        <w:r w:rsidRPr="004C6BC4">
          <w:rPr>
            <w:rStyle w:val="Hyperlink"/>
            <w:rFonts w:ascii="Arial" w:hAnsi="Arial" w:cs="Arial"/>
            <w:sz w:val="22"/>
            <w:szCs w:val="22"/>
          </w:rPr>
          <w:t>https://minds-in-bloom.com/5-tips-for-teaching-academic-language/</w:t>
        </w:r>
      </w:hyperlink>
      <w:r w:rsidRPr="004C6BC4">
        <w:rPr>
          <w:rFonts w:ascii="Arial" w:hAnsi="Arial" w:cs="Arial"/>
          <w:sz w:val="22"/>
          <w:szCs w:val="22"/>
        </w:rPr>
        <w:t>).</w:t>
      </w:r>
    </w:p>
    <w:p w14:paraId="274933C8" w14:textId="77777777" w:rsidR="0071388B" w:rsidRPr="004C6BC4" w:rsidRDefault="0071388B">
      <w:pPr>
        <w:rPr>
          <w:rFonts w:ascii="Arial" w:hAnsi="Arial" w:cs="Arial"/>
          <w:sz w:val="10"/>
          <w:szCs w:val="10"/>
        </w:rPr>
      </w:pPr>
    </w:p>
    <w:p w14:paraId="10FBB042" w14:textId="08213182" w:rsidR="008A534E" w:rsidRPr="0071388B" w:rsidRDefault="008A534E">
      <w:pPr>
        <w:rPr>
          <w:rFonts w:ascii="Arial Black" w:hAnsi="Arial Black" w:cs="Arial"/>
          <w:b/>
          <w:bCs/>
        </w:rPr>
      </w:pPr>
      <w:r w:rsidRPr="0071388B">
        <w:rPr>
          <w:rFonts w:ascii="Arial Black" w:hAnsi="Arial Black" w:cs="Arial"/>
          <w:b/>
          <w:bCs/>
        </w:rPr>
        <w:t>How to Use This Module</w:t>
      </w:r>
    </w:p>
    <w:p w14:paraId="04B9B739" w14:textId="0FBA5D9F" w:rsidR="00AC1E19" w:rsidRPr="00256B31" w:rsidRDefault="0071388B">
      <w:pPr>
        <w:rPr>
          <w:rFonts w:ascii="Arial" w:hAnsi="Arial" w:cs="Arial"/>
          <w:sz w:val="22"/>
          <w:szCs w:val="22"/>
        </w:rPr>
      </w:pPr>
      <w:r w:rsidRPr="00263DCF">
        <w:rPr>
          <w:rFonts w:ascii="Arial" w:hAnsi="Arial" w:cs="Arial"/>
          <w:sz w:val="22"/>
          <w:szCs w:val="22"/>
        </w:rPr>
        <w:t xml:space="preserve">There are two suggested ways to implement this module. First, </w:t>
      </w:r>
      <w:r w:rsidR="00263DCF" w:rsidRPr="00263DCF">
        <w:rPr>
          <w:rFonts w:ascii="Arial" w:hAnsi="Arial" w:cs="Arial"/>
          <w:sz w:val="22"/>
          <w:szCs w:val="22"/>
        </w:rPr>
        <w:t xml:space="preserve">introduce 1 instant activity per class across </w:t>
      </w:r>
      <w:r w:rsidR="009E2025">
        <w:rPr>
          <w:rFonts w:ascii="Arial" w:hAnsi="Arial" w:cs="Arial"/>
          <w:sz w:val="22"/>
          <w:szCs w:val="22"/>
        </w:rPr>
        <w:t>a series of</w:t>
      </w:r>
      <w:r w:rsidR="00263DCF" w:rsidRPr="00263DCF">
        <w:rPr>
          <w:rFonts w:ascii="Arial" w:hAnsi="Arial" w:cs="Arial"/>
          <w:sz w:val="22"/>
          <w:szCs w:val="22"/>
        </w:rPr>
        <w:t xml:space="preserve"> complete lessons. Focus on the academic language work throughout the lessons with students completing the journal page as an exit assessment. Second, plan 3 complete Winter Wonderland lessons with 3 or 4 instant activities per lesson. Students will take 5 to 10 minutes at the end of class to complete and discuss their journals. Start each lesson with a recap discussion of the previous day’s journal pages.</w:t>
      </w:r>
    </w:p>
    <w:p w14:paraId="67DAC803" w14:textId="2861C6AD" w:rsidR="00AC1E19" w:rsidRPr="00263DCF" w:rsidRDefault="00AC1E19" w:rsidP="004C6BC4">
      <w:pPr>
        <w:jc w:val="center"/>
        <w:rPr>
          <w:rFonts w:ascii="Arial Black" w:hAnsi="Arial Black" w:cs="Arial"/>
          <w:b/>
          <w:bCs/>
        </w:rPr>
      </w:pPr>
      <w:r w:rsidRPr="00263DCF">
        <w:rPr>
          <w:rFonts w:ascii="Arial Black" w:hAnsi="Arial Black" w:cs="Arial"/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90"/>
        <w:gridCol w:w="3361"/>
      </w:tblGrid>
      <w:tr w:rsidR="00AC1E19" w14:paraId="0559F7C8" w14:textId="77777777" w:rsidTr="000C1035">
        <w:tc>
          <w:tcPr>
            <w:tcW w:w="2875" w:type="dxa"/>
            <w:shd w:val="clear" w:color="auto" w:fill="57669E"/>
            <w:vAlign w:val="center"/>
          </w:tcPr>
          <w:p w14:paraId="6EAE83D0" w14:textId="5DF51340" w:rsidR="00AC1E19" w:rsidRPr="00245735" w:rsidRDefault="00245735" w:rsidP="002457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457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RESOURCES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57669E"/>
            <w:vAlign w:val="center"/>
          </w:tcPr>
          <w:p w14:paraId="3803A7F1" w14:textId="509475C3" w:rsidR="00AC1E19" w:rsidRPr="00245735" w:rsidRDefault="009E2025" w:rsidP="002457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PRIORITY</w:t>
            </w:r>
            <w:r w:rsidR="00245735" w:rsidRPr="002457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OUTCOMES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57669E"/>
            <w:vAlign w:val="center"/>
          </w:tcPr>
          <w:p w14:paraId="7F4E993F" w14:textId="6DC971FF" w:rsidR="00AC1E19" w:rsidRPr="00245735" w:rsidRDefault="00245735" w:rsidP="002457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457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SEL COMPETENCIES</w:t>
            </w:r>
          </w:p>
        </w:tc>
      </w:tr>
      <w:tr w:rsidR="00AC1E19" w14:paraId="3BA5D8FF" w14:textId="77777777" w:rsidTr="000C1035"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7836ABA" w14:textId="212AC09C" w:rsidR="00AC1E19" w:rsidRPr="00245735" w:rsidRDefault="00AC1E19" w:rsidP="00245735">
            <w:pPr>
              <w:rPr>
                <w:rFonts w:ascii="Arial" w:hAnsi="Arial" w:cs="Arial"/>
                <w:sz w:val="22"/>
                <w:szCs w:val="22"/>
              </w:rPr>
            </w:pPr>
            <w:r w:rsidRPr="00245735">
              <w:rPr>
                <w:rFonts w:ascii="Arial" w:hAnsi="Arial" w:cs="Arial"/>
                <w:sz w:val="22"/>
                <w:szCs w:val="22"/>
              </w:rPr>
              <w:t>Module Overview</w:t>
            </w:r>
          </w:p>
        </w:tc>
        <w:tc>
          <w:tcPr>
            <w:tcW w:w="3690" w:type="dxa"/>
            <w:tcBorders>
              <w:bottom w:val="single" w:sz="4" w:space="0" w:color="auto"/>
              <w:right w:val="nil"/>
            </w:tcBorders>
            <w:vAlign w:val="center"/>
          </w:tcPr>
          <w:p w14:paraId="37A24ED1" w14:textId="77777777" w:rsidR="00AC1E19" w:rsidRPr="00245735" w:rsidRDefault="00AC1E19" w:rsidP="00245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left w:val="nil"/>
              <w:bottom w:val="single" w:sz="4" w:space="0" w:color="auto"/>
            </w:tcBorders>
            <w:vAlign w:val="center"/>
          </w:tcPr>
          <w:p w14:paraId="68B67B52" w14:textId="77777777" w:rsidR="00AC1E19" w:rsidRPr="00245735" w:rsidRDefault="00AC1E19" w:rsidP="002457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BC4" w14:paraId="7167AF28" w14:textId="77777777" w:rsidTr="00D71B28">
        <w:tc>
          <w:tcPr>
            <w:tcW w:w="6565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3BB5FA2" w14:textId="0AB31873" w:rsidR="004C6BC4" w:rsidRPr="00245735" w:rsidRDefault="004C6BC4" w:rsidP="002457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Winter Wonderland </w:t>
            </w:r>
            <w:r w:rsidRPr="00245735">
              <w:rPr>
                <w:rFonts w:ascii="Arial" w:hAnsi="Arial" w:cs="Arial"/>
                <w:b/>
                <w:bCs/>
                <w:sz w:val="22"/>
                <w:szCs w:val="22"/>
              </w:rPr>
              <w:t>Activity Plans</w:t>
            </w:r>
          </w:p>
        </w:tc>
        <w:tc>
          <w:tcPr>
            <w:tcW w:w="336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650B61F" w14:textId="77777777" w:rsidR="004C6BC4" w:rsidRPr="00245735" w:rsidRDefault="004C6BC4" w:rsidP="002457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B31" w14:paraId="5AE03946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604F1050" w14:textId="3EEA2726" w:rsidR="00256B31" w:rsidRPr="00245735" w:rsidRDefault="00256B31" w:rsidP="0047020F">
            <w:pPr>
              <w:ind w:left="720" w:hanging="4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Ornaments 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Attic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431BF8D" w14:textId="260143AF" w:rsidR="00256B31" w:rsidRPr="000C1035" w:rsidRDefault="00256B31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138E730B" w14:textId="011B8825" w:rsidR="00256B31" w:rsidRPr="000C1035" w:rsidRDefault="00256B31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256B31" w14:paraId="521D108F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0DF2D8BB" w14:textId="584C970C" w:rsidR="00256B31" w:rsidRPr="00245735" w:rsidRDefault="00256B31" w:rsidP="0047020F">
            <w:pPr>
              <w:ind w:left="720" w:hanging="4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Grinches Allowed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8712439" w14:textId="198E47CD" w:rsidR="00256B31" w:rsidRPr="000C1035" w:rsidRDefault="00256B31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67877193" w14:textId="56BF9B6C" w:rsidR="00256B31" w:rsidRPr="000C1035" w:rsidRDefault="00256B31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Decision Making</w:t>
            </w:r>
          </w:p>
        </w:tc>
      </w:tr>
      <w:tr w:rsidR="00245735" w14:paraId="30AF45D7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126E8BF" w14:textId="43245BA3" w:rsidR="00245735" w:rsidRPr="00245735" w:rsidRDefault="00245735" w:rsidP="0047020F">
            <w:pPr>
              <w:ind w:left="720" w:hanging="475"/>
              <w:rPr>
                <w:rFonts w:ascii="Arial" w:hAnsi="Arial" w:cs="Arial"/>
                <w:sz w:val="22"/>
                <w:szCs w:val="22"/>
              </w:rPr>
            </w:pPr>
            <w:r w:rsidRPr="00245735">
              <w:rPr>
                <w:rFonts w:ascii="Arial" w:hAnsi="Arial" w:cs="Arial"/>
                <w:sz w:val="22"/>
                <w:szCs w:val="22"/>
              </w:rPr>
              <w:t>Snowmobile Tag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CBB9881" w14:textId="42D3C1E1" w:rsidR="00245735" w:rsidRPr="000C1035" w:rsidRDefault="0012182A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63D65607" w14:textId="748D91E4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Self-Management</w:t>
            </w:r>
          </w:p>
        </w:tc>
      </w:tr>
      <w:tr w:rsidR="00245735" w14:paraId="231B8B93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215EADD" w14:textId="6914CE8F" w:rsidR="00245735" w:rsidRP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Polar Bear Cave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DDFE1D8" w14:textId="3090D656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40E81933" w14:textId="7E9325F5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Decision Making</w:t>
            </w:r>
          </w:p>
        </w:tc>
      </w:tr>
      <w:tr w:rsidR="00245735" w14:paraId="02EFDD7D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B8DD1F0" w14:textId="3BAED2DB" w:rsidR="00245735" w:rsidRP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 Fishing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ABBA6A7" w14:textId="7C9E43C9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7BF50C90" w14:textId="1CA980E3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245735" w14:paraId="4C4D6DBA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F4829A8" w14:textId="27D2CFB2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Elf on the Shelf Tag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E72C5A9" w14:textId="0A169CDC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04159DA5" w14:textId="7463EAF3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Decision Making</w:t>
            </w:r>
          </w:p>
        </w:tc>
      </w:tr>
      <w:tr w:rsidR="00245735" w14:paraId="0B0FB8D5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41B292D3" w14:textId="4DACF5C7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218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Pole VS S Pole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AB781E4" w14:textId="418926AB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6CFEEE7A" w14:textId="280AA388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Self-Management</w:t>
            </w:r>
          </w:p>
        </w:tc>
      </w:tr>
      <w:tr w:rsidR="00245735" w14:paraId="1B7A1D4C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4CECA8DD" w14:textId="12EA4EB8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 Ninjas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E16F9C2" w14:textId="3E379608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4278484A" w14:textId="4C66C452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Self-Awareness</w:t>
            </w:r>
          </w:p>
        </w:tc>
      </w:tr>
      <w:tr w:rsidR="00245735" w14:paraId="28D1800B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0EE83E3F" w14:textId="14E53A8A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 Wrappers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EA8A590" w14:textId="507789B1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26E48BBC" w14:textId="2F89C234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Self-Awareness</w:t>
            </w:r>
          </w:p>
        </w:tc>
      </w:tr>
      <w:tr w:rsidR="00245735" w14:paraId="1791B740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7B19E02D" w14:textId="1015BEE7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Gingerbread Gumdrops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A24C5" w14:textId="746935B7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6E4F" w14:textId="05439FCB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Self-Awareness</w:t>
            </w:r>
          </w:p>
        </w:tc>
      </w:tr>
      <w:tr w:rsidR="000C1035" w14:paraId="749EAB39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2C269148" w14:textId="1BE66323" w:rsidR="000C1035" w:rsidRDefault="000C1035" w:rsidP="000C1035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Tree Relay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043F5" w14:textId="589BC85D" w:rsidR="000C1035" w:rsidRDefault="000C1035" w:rsidP="000C1035">
            <w:pPr>
              <w:jc w:val="center"/>
              <w:rPr>
                <w:rFonts w:ascii="Arial" w:hAnsi="Arial" w:cs="Arial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BFA50" w14:textId="1979B45E" w:rsidR="000C1035" w:rsidRPr="000C1035" w:rsidRDefault="000C1035" w:rsidP="000C10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0C1035" w14:paraId="3651FD2D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FF1A29F" w14:textId="257676E7" w:rsidR="000C1035" w:rsidRDefault="000C1035" w:rsidP="000C1035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Menorah Relay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8612B" w14:textId="19837F87" w:rsidR="000C1035" w:rsidRDefault="000C1035" w:rsidP="000C1035">
            <w:pPr>
              <w:jc w:val="center"/>
              <w:rPr>
                <w:rFonts w:ascii="Arial" w:hAnsi="Arial" w:cs="Arial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469F7" w14:textId="153D8852" w:rsidR="000C1035" w:rsidRPr="000C1035" w:rsidRDefault="000C1035" w:rsidP="000C10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0C1035" w14:paraId="2248C962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6654AA54" w14:textId="0B9D0596" w:rsidR="000C1035" w:rsidRDefault="000C1035" w:rsidP="000C1035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Kinara Relay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73534" w14:textId="6E0AE274" w:rsidR="000C1035" w:rsidRDefault="000C1035" w:rsidP="000C1035">
            <w:pPr>
              <w:jc w:val="center"/>
              <w:rPr>
                <w:rFonts w:ascii="Arial" w:hAnsi="Arial" w:cs="Arial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0E547" w14:textId="74A36A0F" w:rsidR="000C1035" w:rsidRPr="000C1035" w:rsidRDefault="000C1035" w:rsidP="000C10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4C6BC4" w14:paraId="5C8B2656" w14:textId="77777777" w:rsidTr="004C6BC4">
        <w:tc>
          <w:tcPr>
            <w:tcW w:w="6565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5B44C4F" w14:textId="48705053" w:rsidR="004C6BC4" w:rsidRPr="00245735" w:rsidRDefault="004C6BC4" w:rsidP="000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Reindeer Games Activity Plans</w:t>
            </w:r>
          </w:p>
        </w:tc>
        <w:tc>
          <w:tcPr>
            <w:tcW w:w="336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06B90" w14:textId="77777777" w:rsidR="004C6BC4" w:rsidRPr="00245735" w:rsidRDefault="004C6BC4" w:rsidP="000C1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BC4" w14:paraId="147E97CC" w14:textId="77777777" w:rsidTr="004C6BC4">
        <w:tc>
          <w:tcPr>
            <w:tcW w:w="28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82B18" w14:textId="1DB10A0D" w:rsidR="004C6BC4" w:rsidRPr="004C6BC4" w:rsidRDefault="004C6BC4" w:rsidP="004C6BC4">
            <w:pPr>
              <w:ind w:firstLine="2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Snowflake Maps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F455" w14:textId="249B737F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CF5F0F" w14:textId="75AEE922" w:rsidR="004C6BC4" w:rsidRPr="00245735" w:rsidRDefault="004C6BC4" w:rsidP="004C6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Self-Management</w:t>
            </w:r>
          </w:p>
        </w:tc>
      </w:tr>
      <w:tr w:rsidR="004C6BC4" w14:paraId="14DA1EDE" w14:textId="77777777" w:rsidTr="004C6BC4">
        <w:tc>
          <w:tcPr>
            <w:tcW w:w="28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7E42" w14:textId="65FC5207" w:rsidR="004C6BC4" w:rsidRDefault="004C6BC4" w:rsidP="004C6BC4">
            <w:pPr>
              <w:ind w:firstLine="2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Nose Relay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6C96" w14:textId="76048315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5CA2AF" w14:textId="5232B4A3" w:rsidR="004C6BC4" w:rsidRPr="00245735" w:rsidRDefault="004C6BC4" w:rsidP="004C6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Decision Making</w:t>
            </w:r>
          </w:p>
        </w:tc>
      </w:tr>
      <w:tr w:rsidR="004C6BC4" w14:paraId="7E92EE80" w14:textId="77777777" w:rsidTr="004C6BC4">
        <w:tc>
          <w:tcPr>
            <w:tcW w:w="28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C57FA" w14:textId="47AEBAB4" w:rsidR="004C6BC4" w:rsidRDefault="004C6BC4" w:rsidP="004C6BC4">
            <w:pPr>
              <w:ind w:firstLine="2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 the Reindeer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7EDC2" w14:textId="61D562DF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F90072" w14:textId="7E48B1A5" w:rsidR="004C6BC4" w:rsidRPr="00245735" w:rsidRDefault="004C6BC4" w:rsidP="004C6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4C6BC4" w14:paraId="2EB61B82" w14:textId="77777777" w:rsidTr="004C6BC4">
        <w:tc>
          <w:tcPr>
            <w:tcW w:w="28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6012" w14:textId="5A704FB9" w:rsidR="004C6BC4" w:rsidRDefault="004C6BC4" w:rsidP="004C6BC4">
            <w:pPr>
              <w:ind w:firstLine="2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Down the Chimney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6931E" w14:textId="2471ACDF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86B40D" w14:textId="45D3FE61" w:rsidR="004C6BC4" w:rsidRPr="00245735" w:rsidRDefault="004C6BC4" w:rsidP="004C6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Decision Making</w:t>
            </w:r>
          </w:p>
        </w:tc>
      </w:tr>
      <w:tr w:rsidR="004C6BC4" w14:paraId="5BA9C9D3" w14:textId="77777777" w:rsidTr="004C6BC4">
        <w:tc>
          <w:tcPr>
            <w:tcW w:w="28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F7D93" w14:textId="72D8E2EF" w:rsidR="004C6BC4" w:rsidRDefault="004C6BC4" w:rsidP="004C6BC4">
            <w:pPr>
              <w:ind w:firstLine="2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Snowman &amp; Sunshine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1399D" w14:textId="53A3BFB6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1BDAE8" w14:textId="70D29764" w:rsidR="004C6BC4" w:rsidRPr="00245735" w:rsidRDefault="004C6BC4" w:rsidP="004C6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Self-Management</w:t>
            </w:r>
          </w:p>
        </w:tc>
      </w:tr>
      <w:tr w:rsidR="004C6BC4" w14:paraId="543129AA" w14:textId="77777777" w:rsidTr="004C6BC4">
        <w:tc>
          <w:tcPr>
            <w:tcW w:w="28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E831" w14:textId="186410D9" w:rsidR="004C6BC4" w:rsidRDefault="004C6BC4" w:rsidP="004C6BC4">
            <w:pPr>
              <w:ind w:firstLine="2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Frostbite Tag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76C9A" w14:textId="402D3E28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E30C0" w14:textId="53117388" w:rsidR="004C6BC4" w:rsidRPr="00245735" w:rsidRDefault="004C6BC4" w:rsidP="004C6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Self-Awareness</w:t>
            </w:r>
          </w:p>
        </w:tc>
      </w:tr>
      <w:tr w:rsidR="004C6BC4" w14:paraId="57F77EA6" w14:textId="77777777" w:rsidTr="004C6BC4">
        <w:tc>
          <w:tcPr>
            <w:tcW w:w="287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14CEAB" w14:textId="2D2BD9BE" w:rsidR="004C6BC4" w:rsidRPr="004C6BC4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  <w:r w:rsidRPr="004C6BC4">
              <w:rPr>
                <w:rFonts w:ascii="Arial" w:hAnsi="Arial" w:cs="Arial"/>
                <w:sz w:val="22"/>
                <w:szCs w:val="22"/>
              </w:rPr>
              <w:t>Academic Language Cards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4952F5" w14:textId="77777777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005CDD" w14:textId="77777777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BC4" w14:paraId="769C6FCA" w14:textId="77777777" w:rsidTr="000C1035">
        <w:tc>
          <w:tcPr>
            <w:tcW w:w="287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3979B17" w14:textId="302C0BFD" w:rsidR="004C6BC4" w:rsidRPr="00245735" w:rsidRDefault="004C6BC4" w:rsidP="004C6B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Assessments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25A9BC" w14:textId="77777777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1ED45D3" w14:textId="77777777" w:rsidR="004C6BC4" w:rsidRPr="00245735" w:rsidRDefault="004C6BC4" w:rsidP="004C6B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BC4" w14:paraId="7CEF0E93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449A66A6" w14:textId="35EFCE7F" w:rsidR="004C6BC4" w:rsidRPr="00256B31" w:rsidRDefault="004C6BC4" w:rsidP="00256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 Vocabulary Journal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260C2E5" w14:textId="49A11C67" w:rsidR="004C6BC4" w:rsidRPr="0052421E" w:rsidRDefault="004C6BC4" w:rsidP="004C6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21E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0521CE2C" w14:textId="24045D7F" w:rsidR="004C6BC4" w:rsidRPr="0052421E" w:rsidRDefault="004C6BC4" w:rsidP="004C6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21E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</w:tbl>
    <w:p w14:paraId="5D7876A4" w14:textId="58DF1806" w:rsidR="00263DCF" w:rsidRPr="00263DCF" w:rsidRDefault="00263DCF">
      <w:pPr>
        <w:rPr>
          <w:rFonts w:ascii="Arial" w:hAnsi="Arial" w:cs="Arial"/>
          <w:sz w:val="22"/>
          <w:szCs w:val="22"/>
        </w:rPr>
      </w:pPr>
    </w:p>
    <w:sectPr w:rsidR="00263DCF" w:rsidRPr="00263DCF" w:rsidSect="00AC1E19">
      <w:headerReference w:type="default" r:id="rId8"/>
      <w:footerReference w:type="default" r:id="rId9"/>
      <w:pgSz w:w="12240" w:h="15840"/>
      <w:pgMar w:top="2448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4CB2" w14:textId="77777777" w:rsidR="001431E0" w:rsidRDefault="001431E0" w:rsidP="00AC1E19">
      <w:r>
        <w:separator/>
      </w:r>
    </w:p>
  </w:endnote>
  <w:endnote w:type="continuationSeparator" w:id="0">
    <w:p w14:paraId="346AD0A2" w14:textId="77777777" w:rsidR="001431E0" w:rsidRDefault="001431E0" w:rsidP="00A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C8BD" w14:textId="7B563860" w:rsidR="00AC1E19" w:rsidRDefault="00AC1E1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DC1AC" wp14:editId="638C903F">
          <wp:simplePos x="0" y="0"/>
          <wp:positionH relativeFrom="margin">
            <wp:align>center</wp:align>
          </wp:positionH>
          <wp:positionV relativeFrom="paragraph">
            <wp:posOffset>-418393</wp:posOffset>
          </wp:positionV>
          <wp:extent cx="6766560" cy="403973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824F" w14:textId="77777777" w:rsidR="001431E0" w:rsidRDefault="001431E0" w:rsidP="00AC1E19">
      <w:r>
        <w:separator/>
      </w:r>
    </w:p>
  </w:footnote>
  <w:footnote w:type="continuationSeparator" w:id="0">
    <w:p w14:paraId="6894F5BC" w14:textId="77777777" w:rsidR="001431E0" w:rsidRDefault="001431E0" w:rsidP="00AC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FCA3" w14:textId="017DFB49" w:rsidR="00AC1E19" w:rsidRDefault="00AC1E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DDB03" wp14:editId="1CFE433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03305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uleOverviewHeader-Winterwonder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3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213"/>
    <w:multiLevelType w:val="hybridMultilevel"/>
    <w:tmpl w:val="F7AE7BFC"/>
    <w:lvl w:ilvl="0" w:tplc="F4180116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F52B4"/>
    <w:multiLevelType w:val="hybridMultilevel"/>
    <w:tmpl w:val="11F2D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24652">
    <w:abstractNumId w:val="1"/>
  </w:num>
  <w:num w:numId="2" w16cid:durableId="38456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19"/>
    <w:rsid w:val="00090180"/>
    <w:rsid w:val="000C1035"/>
    <w:rsid w:val="0012182A"/>
    <w:rsid w:val="001431E0"/>
    <w:rsid w:val="00245735"/>
    <w:rsid w:val="00256B31"/>
    <w:rsid w:val="00263DCF"/>
    <w:rsid w:val="003A319A"/>
    <w:rsid w:val="0047020F"/>
    <w:rsid w:val="004C6BC4"/>
    <w:rsid w:val="0052421E"/>
    <w:rsid w:val="005D0FC2"/>
    <w:rsid w:val="0071388B"/>
    <w:rsid w:val="00760921"/>
    <w:rsid w:val="008772A9"/>
    <w:rsid w:val="008A534E"/>
    <w:rsid w:val="009E2025"/>
    <w:rsid w:val="00AC1E19"/>
    <w:rsid w:val="00C50058"/>
    <w:rsid w:val="00C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B684E"/>
  <w15:chartTrackingRefBased/>
  <w15:docId w15:val="{B8DD9FF1-1B05-CF47-A19B-274C6E5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19"/>
  </w:style>
  <w:style w:type="paragraph" w:styleId="Footer">
    <w:name w:val="footer"/>
    <w:basedOn w:val="Normal"/>
    <w:link w:val="FooterChar"/>
    <w:uiPriority w:val="99"/>
    <w:unhideWhenUsed/>
    <w:rsid w:val="00AC1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19"/>
  </w:style>
  <w:style w:type="table" w:styleId="TableGrid">
    <w:name w:val="Table Grid"/>
    <w:basedOn w:val="TableNormal"/>
    <w:uiPriority w:val="39"/>
    <w:rsid w:val="00AC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E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1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ds-in-bloom.com/5-tips-for-teaching-academic-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James Teeple</cp:lastModifiedBy>
  <cp:revision>3</cp:revision>
  <dcterms:created xsi:type="dcterms:W3CDTF">2022-12-02T22:11:00Z</dcterms:created>
  <dcterms:modified xsi:type="dcterms:W3CDTF">2022-12-02T22:16:00Z</dcterms:modified>
</cp:coreProperties>
</file>